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2F718" w14:textId="676F4208" w:rsidR="000D6148" w:rsidRPr="004A36AE" w:rsidRDefault="008964BE" w:rsidP="00D1692E">
      <w:pPr>
        <w:spacing w:after="0"/>
        <w:jc w:val="center"/>
        <w:rPr>
          <w:rFonts w:asciiTheme="majorHAnsi" w:hAnsiTheme="majorHAnsi" w:cstheme="majorHAnsi"/>
          <w:b/>
          <w:bCs/>
          <w:sz w:val="28"/>
          <w:szCs w:val="28"/>
          <w:lang w:val="fr-CI"/>
        </w:rPr>
      </w:pPr>
      <w:r>
        <w:rPr>
          <w:rFonts w:asciiTheme="majorHAnsi" w:hAnsiTheme="majorHAnsi" w:cstheme="majorHAnsi"/>
          <w:b/>
          <w:bCs/>
          <w:sz w:val="28"/>
          <w:szCs w:val="28"/>
          <w:lang w:val="fr-FR"/>
        </w:rPr>
        <w:t>Des progrès dans la lutte contre les superbactéries, mais pas encore à l’échelle nécessaire</w:t>
      </w:r>
    </w:p>
    <w:p w14:paraId="0EC114C7" w14:textId="77777777" w:rsidR="00D1692E" w:rsidRPr="004A36AE" w:rsidRDefault="00D1692E" w:rsidP="00D1692E">
      <w:pPr>
        <w:spacing w:after="0"/>
        <w:jc w:val="center"/>
        <w:rPr>
          <w:rFonts w:asciiTheme="majorHAnsi" w:hAnsiTheme="majorHAnsi" w:cstheme="majorHAnsi"/>
          <w:b/>
          <w:bCs/>
          <w:lang w:val="fr-CI"/>
        </w:rPr>
      </w:pPr>
    </w:p>
    <w:p w14:paraId="7F4B7A10" w14:textId="687CA5E4" w:rsidR="00D1692E" w:rsidRPr="004A36AE" w:rsidRDefault="00FA1543" w:rsidP="00D1692E">
      <w:pPr>
        <w:spacing w:after="0"/>
        <w:jc w:val="center"/>
        <w:rPr>
          <w:rFonts w:asciiTheme="majorHAnsi" w:hAnsiTheme="majorHAnsi" w:cstheme="majorHAnsi"/>
          <w:b/>
          <w:bCs/>
          <w:lang w:val="fr-CI"/>
        </w:rPr>
      </w:pPr>
      <w:r>
        <w:rPr>
          <w:rFonts w:asciiTheme="majorHAnsi" w:hAnsiTheme="majorHAnsi" w:cstheme="majorHAnsi"/>
          <w:b/>
          <w:bCs/>
          <w:lang w:val="fr-FR"/>
        </w:rPr>
        <w:t>Le rapport comparatif « </w:t>
      </w:r>
      <w:proofErr w:type="spellStart"/>
      <w:r>
        <w:rPr>
          <w:rFonts w:asciiTheme="majorHAnsi" w:hAnsiTheme="majorHAnsi" w:cstheme="majorHAnsi"/>
          <w:b/>
          <w:bCs/>
          <w:lang w:val="fr-FR"/>
        </w:rPr>
        <w:t>Antimicrobial</w:t>
      </w:r>
      <w:proofErr w:type="spellEnd"/>
      <w:r>
        <w:rPr>
          <w:rFonts w:asciiTheme="majorHAnsi" w:hAnsiTheme="majorHAnsi" w:cstheme="majorHAnsi"/>
          <w:b/>
          <w:bCs/>
          <w:lang w:val="fr-FR"/>
        </w:rPr>
        <w:t xml:space="preserve"> Resistance Benchmark » de 2020 évalue les mesures prises par 30 </w:t>
      </w:r>
      <w:r w:rsidR="00F01A1F">
        <w:rPr>
          <w:rFonts w:asciiTheme="majorHAnsi" w:hAnsiTheme="majorHAnsi" w:cstheme="majorHAnsi"/>
          <w:b/>
          <w:bCs/>
          <w:lang w:val="fr-FR"/>
        </w:rPr>
        <w:t xml:space="preserve">entreprises </w:t>
      </w:r>
      <w:r>
        <w:rPr>
          <w:rFonts w:asciiTheme="majorHAnsi" w:hAnsiTheme="majorHAnsi" w:cstheme="majorHAnsi"/>
          <w:b/>
          <w:bCs/>
          <w:lang w:val="fr-FR"/>
        </w:rPr>
        <w:t>pharmaceutiques</w:t>
      </w:r>
    </w:p>
    <w:p w14:paraId="263FB804" w14:textId="10F51A89" w:rsidR="00A811A5" w:rsidRPr="004A36AE" w:rsidRDefault="001C268D" w:rsidP="00D1692E">
      <w:pPr>
        <w:spacing w:after="0"/>
        <w:jc w:val="center"/>
        <w:rPr>
          <w:rFonts w:asciiTheme="majorHAnsi" w:hAnsiTheme="majorHAnsi" w:cstheme="majorHAnsi"/>
          <w:b/>
          <w:bCs/>
          <w:lang w:val="fr-CI"/>
        </w:rPr>
      </w:pPr>
      <w:proofErr w:type="gramStart"/>
      <w:r>
        <w:rPr>
          <w:rFonts w:asciiTheme="majorHAnsi" w:hAnsiTheme="majorHAnsi" w:cstheme="majorHAnsi"/>
          <w:b/>
          <w:bCs/>
          <w:lang w:val="fr-FR"/>
        </w:rPr>
        <w:t>pour</w:t>
      </w:r>
      <w:proofErr w:type="gramEnd"/>
      <w:r>
        <w:rPr>
          <w:rFonts w:asciiTheme="majorHAnsi" w:hAnsiTheme="majorHAnsi" w:cstheme="majorHAnsi"/>
          <w:b/>
          <w:bCs/>
          <w:lang w:val="fr-FR"/>
        </w:rPr>
        <w:t xml:space="preserve"> limiter la résistance aux </w:t>
      </w:r>
      <w:r w:rsidR="005E2F3F">
        <w:rPr>
          <w:rFonts w:asciiTheme="majorHAnsi" w:hAnsiTheme="majorHAnsi" w:cstheme="majorHAnsi"/>
          <w:b/>
          <w:bCs/>
          <w:lang w:val="fr-FR"/>
        </w:rPr>
        <w:t>antibiotique</w:t>
      </w:r>
      <w:r w:rsidR="005F50FA">
        <w:rPr>
          <w:rFonts w:asciiTheme="majorHAnsi" w:hAnsiTheme="majorHAnsi" w:cstheme="majorHAnsi"/>
          <w:b/>
          <w:bCs/>
          <w:lang w:val="fr-FR"/>
        </w:rPr>
        <w:t>s</w:t>
      </w:r>
      <w:r>
        <w:rPr>
          <w:rFonts w:asciiTheme="majorHAnsi" w:hAnsiTheme="majorHAnsi" w:cstheme="majorHAnsi"/>
          <w:b/>
          <w:bCs/>
          <w:lang w:val="fr-FR"/>
        </w:rPr>
        <w:t>.</w:t>
      </w:r>
    </w:p>
    <w:p w14:paraId="352CA49D" w14:textId="77777777" w:rsidR="00A811A5" w:rsidRPr="004A36AE" w:rsidRDefault="00A811A5" w:rsidP="00D46D8E">
      <w:pPr>
        <w:spacing w:after="0"/>
        <w:rPr>
          <w:rFonts w:asciiTheme="majorHAnsi" w:hAnsiTheme="majorHAnsi" w:cstheme="majorHAnsi"/>
          <w:b/>
          <w:bCs/>
          <w:i/>
          <w:iCs/>
          <w:lang w:val="fr-CI"/>
        </w:rPr>
      </w:pPr>
    </w:p>
    <w:p w14:paraId="3090CE96" w14:textId="617EC3B3" w:rsidR="00CE709B" w:rsidRPr="004A36AE" w:rsidRDefault="000D6148" w:rsidP="006D5121">
      <w:pPr>
        <w:spacing w:after="0"/>
        <w:rPr>
          <w:rFonts w:asciiTheme="majorHAnsi" w:hAnsiTheme="majorHAnsi" w:cstheme="majorHAnsi"/>
          <w:b/>
          <w:bCs/>
          <w:lang w:val="fr-CI"/>
        </w:rPr>
      </w:pPr>
      <w:r>
        <w:rPr>
          <w:rFonts w:asciiTheme="majorHAnsi" w:hAnsiTheme="majorHAnsi" w:cstheme="majorHAnsi"/>
          <w:b/>
          <w:bCs/>
          <w:i/>
          <w:iCs/>
          <w:lang w:val="fr-FR"/>
        </w:rPr>
        <w:t>Amsterdam, Pays-Bas, 21 janvier 2020</w:t>
      </w:r>
      <w:r>
        <w:rPr>
          <w:rFonts w:asciiTheme="majorHAnsi" w:hAnsiTheme="majorHAnsi" w:cstheme="majorHAnsi"/>
          <w:b/>
          <w:bCs/>
          <w:lang w:val="fr-FR"/>
        </w:rPr>
        <w:t xml:space="preserve"> – D’après les nouvelles conclusions du rapport comparatif « </w:t>
      </w:r>
      <w:proofErr w:type="spellStart"/>
      <w:r>
        <w:rPr>
          <w:rFonts w:asciiTheme="majorHAnsi" w:hAnsiTheme="majorHAnsi" w:cstheme="majorHAnsi"/>
          <w:b/>
          <w:bCs/>
          <w:lang w:val="fr-FR"/>
        </w:rPr>
        <w:t>Antimicrobial</w:t>
      </w:r>
      <w:proofErr w:type="spellEnd"/>
      <w:r>
        <w:rPr>
          <w:rFonts w:asciiTheme="majorHAnsi" w:hAnsiTheme="majorHAnsi" w:cstheme="majorHAnsi"/>
          <w:b/>
          <w:bCs/>
          <w:lang w:val="fr-FR"/>
        </w:rPr>
        <w:t xml:space="preserve"> Resistance Benchmark » de 2020, un </w:t>
      </w:r>
      <w:r w:rsidR="006002C7">
        <w:rPr>
          <w:rFonts w:asciiTheme="majorHAnsi" w:hAnsiTheme="majorHAnsi" w:cstheme="majorHAnsi"/>
          <w:b/>
          <w:bCs/>
          <w:lang w:val="fr-FR"/>
        </w:rPr>
        <w:t>groupe</w:t>
      </w:r>
      <w:r w:rsidR="001537AB">
        <w:rPr>
          <w:rFonts w:asciiTheme="majorHAnsi" w:hAnsiTheme="majorHAnsi" w:cstheme="majorHAnsi"/>
          <w:b/>
          <w:bCs/>
          <w:lang w:val="fr-FR"/>
        </w:rPr>
        <w:t xml:space="preserve"> </w:t>
      </w:r>
      <w:r>
        <w:rPr>
          <w:rFonts w:asciiTheme="majorHAnsi" w:hAnsiTheme="majorHAnsi" w:cstheme="majorHAnsi"/>
          <w:b/>
          <w:bCs/>
          <w:lang w:val="fr-FR"/>
        </w:rPr>
        <w:t>d’entreprises pharmaceutiques</w:t>
      </w:r>
      <w:r w:rsidR="006002C7">
        <w:rPr>
          <w:rFonts w:asciiTheme="majorHAnsi" w:hAnsiTheme="majorHAnsi" w:cstheme="majorHAnsi"/>
          <w:b/>
          <w:bCs/>
          <w:lang w:val="fr-FR"/>
        </w:rPr>
        <w:t xml:space="preserve"> restreint</w:t>
      </w:r>
      <w:r>
        <w:rPr>
          <w:rFonts w:asciiTheme="majorHAnsi" w:hAnsiTheme="majorHAnsi" w:cstheme="majorHAnsi"/>
          <w:b/>
          <w:bCs/>
          <w:lang w:val="fr-FR"/>
        </w:rPr>
        <w:t xml:space="preserve"> réalise des progrès dans la lutte contre la propagation de la résistance aux antimicrobiens. Cependant, même si quelques </w:t>
      </w:r>
      <w:r w:rsidR="00F01A1F">
        <w:rPr>
          <w:rFonts w:asciiTheme="majorHAnsi" w:hAnsiTheme="majorHAnsi" w:cstheme="majorHAnsi"/>
          <w:b/>
          <w:bCs/>
          <w:lang w:val="fr-FR"/>
        </w:rPr>
        <w:t xml:space="preserve">entreprises </w:t>
      </w:r>
      <w:r>
        <w:rPr>
          <w:rFonts w:asciiTheme="majorHAnsi" w:hAnsiTheme="majorHAnsi" w:cstheme="majorHAnsi"/>
          <w:b/>
          <w:bCs/>
          <w:lang w:val="fr-FR"/>
        </w:rPr>
        <w:t xml:space="preserve">élargissent leurs efforts, le changement ne se produit pas à l’échelle nécessaire pour avoir un impact fondamental sur la menace que représente la résistance aux </w:t>
      </w:r>
      <w:r w:rsidR="005F50FA">
        <w:rPr>
          <w:rFonts w:asciiTheme="majorHAnsi" w:hAnsiTheme="majorHAnsi" w:cstheme="majorHAnsi"/>
          <w:b/>
          <w:bCs/>
          <w:lang w:val="fr-FR"/>
        </w:rPr>
        <w:t>antibiotiques</w:t>
      </w:r>
      <w:r>
        <w:rPr>
          <w:rFonts w:asciiTheme="majorHAnsi" w:hAnsiTheme="majorHAnsi" w:cstheme="majorHAnsi"/>
          <w:b/>
          <w:bCs/>
          <w:lang w:val="fr-FR"/>
        </w:rPr>
        <w:t xml:space="preserve">. </w:t>
      </w:r>
    </w:p>
    <w:p w14:paraId="56CCA68A" w14:textId="77777777" w:rsidR="00D46D8E" w:rsidRPr="004A36AE" w:rsidRDefault="00D46D8E" w:rsidP="00D46D8E">
      <w:pPr>
        <w:spacing w:after="0"/>
        <w:rPr>
          <w:rFonts w:asciiTheme="majorHAnsi" w:hAnsiTheme="majorHAnsi" w:cstheme="majorHAnsi"/>
          <w:lang w:val="fr-CI"/>
        </w:rPr>
      </w:pPr>
    </w:p>
    <w:p w14:paraId="2B467303" w14:textId="7E4F8E47" w:rsidR="00F77427" w:rsidRPr="004A36AE" w:rsidRDefault="008E0F5C" w:rsidP="00D46D8E">
      <w:pPr>
        <w:spacing w:after="0"/>
        <w:rPr>
          <w:rFonts w:asciiTheme="majorHAnsi" w:hAnsiTheme="majorHAnsi" w:cstheme="majorHAnsi"/>
          <w:lang w:val="fr-CI"/>
        </w:rPr>
      </w:pPr>
      <w:r>
        <w:rPr>
          <w:rFonts w:asciiTheme="majorHAnsi" w:hAnsiTheme="majorHAnsi" w:cstheme="majorHAnsi"/>
          <w:lang w:val="fr-FR"/>
        </w:rPr>
        <w:t>Selon le rapport comparatif « </w:t>
      </w:r>
      <w:proofErr w:type="spellStart"/>
      <w:r>
        <w:rPr>
          <w:rFonts w:asciiTheme="majorHAnsi" w:hAnsiTheme="majorHAnsi" w:cstheme="majorHAnsi"/>
          <w:lang w:val="fr-FR"/>
        </w:rPr>
        <w:t>Antimicrobial</w:t>
      </w:r>
      <w:proofErr w:type="spellEnd"/>
      <w:r>
        <w:rPr>
          <w:rFonts w:asciiTheme="majorHAnsi" w:hAnsiTheme="majorHAnsi" w:cstheme="majorHAnsi"/>
          <w:lang w:val="fr-FR"/>
        </w:rPr>
        <w:t xml:space="preserve"> Resistance Benchmark » de 2020, publié aujourd’hui, davantage d’entreprises prennent des mesures pour décourager la survente de leurs antibiotiques et antifongiques aux médecins et autres professionnels de santé. La plupart des </w:t>
      </w:r>
      <w:r w:rsidR="00F01A1F">
        <w:rPr>
          <w:rFonts w:asciiTheme="majorHAnsi" w:hAnsiTheme="majorHAnsi" w:cstheme="majorHAnsi"/>
          <w:lang w:val="fr-FR"/>
        </w:rPr>
        <w:t xml:space="preserve">entreprises </w:t>
      </w:r>
      <w:r>
        <w:rPr>
          <w:rFonts w:asciiTheme="majorHAnsi" w:hAnsiTheme="majorHAnsi" w:cstheme="majorHAnsi"/>
          <w:lang w:val="fr-FR"/>
        </w:rPr>
        <w:t xml:space="preserve">adoptent une stratégie pour éviter que des résidus d’antibactériens ne soient rejetés dans les eaux usées des usines. En outre, les entreprises pharmaceutiques partagent plus de données sur l’apparition de la résistance </w:t>
      </w:r>
      <w:r w:rsidR="00D86F2D">
        <w:rPr>
          <w:rFonts w:asciiTheme="majorHAnsi" w:hAnsiTheme="majorHAnsi" w:cstheme="majorHAnsi"/>
          <w:lang w:val="fr-FR"/>
        </w:rPr>
        <w:t>aux antibiotiques</w:t>
      </w:r>
      <w:r>
        <w:rPr>
          <w:rFonts w:asciiTheme="majorHAnsi" w:hAnsiTheme="majorHAnsi" w:cstheme="majorHAnsi"/>
          <w:lang w:val="fr-FR"/>
        </w:rPr>
        <w:t xml:space="preserve">. </w:t>
      </w:r>
    </w:p>
    <w:p w14:paraId="0F22C50C" w14:textId="77777777" w:rsidR="00D46D8E" w:rsidRPr="004A36AE" w:rsidRDefault="00D46D8E" w:rsidP="006D5121">
      <w:pPr>
        <w:spacing w:after="0"/>
        <w:rPr>
          <w:rFonts w:asciiTheme="majorHAnsi" w:hAnsiTheme="majorHAnsi" w:cstheme="majorHAnsi"/>
          <w:lang w:val="fr-CI"/>
        </w:rPr>
      </w:pPr>
    </w:p>
    <w:p w14:paraId="663325A8" w14:textId="21248FD6" w:rsidR="000061C7" w:rsidRPr="004A36AE" w:rsidRDefault="00A13CAE" w:rsidP="000061C7">
      <w:pPr>
        <w:spacing w:after="0"/>
        <w:rPr>
          <w:rFonts w:asciiTheme="majorHAnsi" w:hAnsiTheme="majorHAnsi" w:cstheme="majorHAnsi"/>
          <w:lang w:val="fr-CI"/>
        </w:rPr>
      </w:pPr>
      <w:r>
        <w:rPr>
          <w:rFonts w:asciiTheme="majorHAnsi" w:hAnsiTheme="majorHAnsi" w:cstheme="majorHAnsi"/>
          <w:lang w:val="fr-FR"/>
        </w:rPr>
        <w:t xml:space="preserve">Par rapport à 2018, l’activité consacrée au traitement des infections bactériennes et fongiques prioritaires reste faible. En effet, seuls 51 produits candidats se trouvent actuellement au dernier stade de développement clinique. Seuls quelques antibiotiques au stade clinique de plus sont appuyés par des programmes visant à garantir leur disponibilité et leur usage raisonnable peu de temps après leur lancement. De plus, les antibiotiques ne sont pas largement accessibles dans les pays à faible et à moyen revenu en raison de dépôts d’enregistrement ou de stratégies d’approvisionnement. </w:t>
      </w:r>
    </w:p>
    <w:p w14:paraId="60902508" w14:textId="77777777" w:rsidR="00D46D8E" w:rsidRPr="004A36AE" w:rsidRDefault="00D46D8E" w:rsidP="00D46D8E">
      <w:pPr>
        <w:spacing w:after="0"/>
        <w:rPr>
          <w:rFonts w:asciiTheme="majorHAnsi" w:hAnsiTheme="majorHAnsi" w:cstheme="majorHAnsi"/>
          <w:lang w:val="fr-CI"/>
        </w:rPr>
      </w:pPr>
    </w:p>
    <w:p w14:paraId="4117FFEF" w14:textId="50786FAD" w:rsidR="00715843" w:rsidRPr="004A36AE" w:rsidRDefault="00715843" w:rsidP="00D46D8E">
      <w:pPr>
        <w:spacing w:after="0"/>
        <w:rPr>
          <w:rFonts w:asciiTheme="majorHAnsi" w:hAnsiTheme="majorHAnsi" w:cstheme="majorHAnsi"/>
          <w:lang w:val="fr-CI"/>
        </w:rPr>
      </w:pPr>
      <w:r>
        <w:rPr>
          <w:rFonts w:asciiTheme="majorHAnsi" w:hAnsiTheme="majorHAnsi" w:cstheme="majorHAnsi"/>
          <w:i/>
          <w:iCs/>
          <w:lang w:val="fr-FR"/>
        </w:rPr>
        <w:t>« Étant donné l’indisponibilité de</w:t>
      </w:r>
      <w:r w:rsidR="00EF6B80">
        <w:rPr>
          <w:rFonts w:asciiTheme="majorHAnsi" w:hAnsiTheme="majorHAnsi" w:cstheme="majorHAnsi"/>
          <w:i/>
          <w:iCs/>
          <w:lang w:val="fr-FR"/>
        </w:rPr>
        <w:t xml:space="preserve"> plus</w:t>
      </w:r>
      <w:r>
        <w:rPr>
          <w:rFonts w:asciiTheme="majorHAnsi" w:hAnsiTheme="majorHAnsi" w:cstheme="majorHAnsi"/>
          <w:i/>
          <w:iCs/>
          <w:lang w:val="fr-FR"/>
        </w:rPr>
        <w:t xml:space="preserve"> anciens antibiotiques dans les pays à faible et à moyen revenu, il est peu probable que les nouveaux parviennent aux personnes qui en ont besoin. Ces “inégalités d’accès” peuvent amener les gens à en faire un usage abusif. Les entreprises pharmaceutiques doivent aborde</w:t>
      </w:r>
      <w:r w:rsidR="00EF6B80">
        <w:rPr>
          <w:rFonts w:asciiTheme="majorHAnsi" w:hAnsiTheme="majorHAnsi" w:cstheme="majorHAnsi"/>
          <w:i/>
          <w:iCs/>
          <w:lang w:val="fr-FR"/>
        </w:rPr>
        <w:t>r</w:t>
      </w:r>
      <w:r>
        <w:rPr>
          <w:rFonts w:asciiTheme="majorHAnsi" w:hAnsiTheme="majorHAnsi" w:cstheme="majorHAnsi"/>
          <w:i/>
          <w:iCs/>
          <w:lang w:val="fr-FR"/>
        </w:rPr>
        <w:t xml:space="preserve"> les questions relatives à l’accès pour protéger l’efficacité de leurs médicaments »,</w:t>
      </w:r>
      <w:r>
        <w:rPr>
          <w:rFonts w:asciiTheme="majorHAnsi" w:hAnsiTheme="majorHAnsi" w:cstheme="majorHAnsi"/>
          <w:lang w:val="fr-FR"/>
        </w:rPr>
        <w:t xml:space="preserve"> explique Jayasree Iyer, directeur exécutif de l’Access to </w:t>
      </w:r>
      <w:proofErr w:type="spellStart"/>
      <w:r>
        <w:rPr>
          <w:rFonts w:asciiTheme="majorHAnsi" w:hAnsiTheme="majorHAnsi" w:cstheme="majorHAnsi"/>
          <w:lang w:val="fr-FR"/>
        </w:rPr>
        <w:t>Medicine</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Foundation</w:t>
      </w:r>
      <w:proofErr w:type="spellEnd"/>
      <w:r>
        <w:rPr>
          <w:rFonts w:asciiTheme="majorHAnsi" w:hAnsiTheme="majorHAnsi" w:cstheme="majorHAnsi"/>
          <w:lang w:val="fr-FR"/>
        </w:rPr>
        <w:t>, qui publie le rapport comparatif « </w:t>
      </w:r>
      <w:proofErr w:type="spellStart"/>
      <w:r>
        <w:rPr>
          <w:rFonts w:asciiTheme="majorHAnsi" w:hAnsiTheme="majorHAnsi" w:cstheme="majorHAnsi"/>
          <w:lang w:val="fr-FR"/>
        </w:rPr>
        <w:t>Antimicrobial</w:t>
      </w:r>
      <w:proofErr w:type="spellEnd"/>
      <w:r>
        <w:rPr>
          <w:rFonts w:asciiTheme="majorHAnsi" w:hAnsiTheme="majorHAnsi" w:cstheme="majorHAnsi"/>
          <w:lang w:val="fr-FR"/>
        </w:rPr>
        <w:t xml:space="preserve"> Resistance Benchmark ».  </w:t>
      </w:r>
    </w:p>
    <w:p w14:paraId="690B9D9E" w14:textId="7DAA999A" w:rsidR="00496AA3" w:rsidRPr="004A36AE" w:rsidRDefault="00496AA3" w:rsidP="00D46D8E">
      <w:pPr>
        <w:spacing w:after="0"/>
        <w:rPr>
          <w:rFonts w:asciiTheme="majorHAnsi" w:hAnsiTheme="majorHAnsi" w:cstheme="majorHAnsi"/>
          <w:lang w:val="fr-CI"/>
        </w:rPr>
      </w:pPr>
    </w:p>
    <w:p w14:paraId="28DD8ED2" w14:textId="011ACB56" w:rsidR="00D6512A" w:rsidRPr="004A36AE" w:rsidRDefault="00591EBA" w:rsidP="00D46D8E">
      <w:pPr>
        <w:spacing w:after="0"/>
        <w:rPr>
          <w:rFonts w:asciiTheme="majorHAnsi" w:hAnsiTheme="majorHAnsi" w:cstheme="majorHAnsi"/>
          <w:b/>
          <w:bCs/>
          <w:lang w:val="fr-CI"/>
        </w:rPr>
      </w:pPr>
      <w:r>
        <w:rPr>
          <w:rFonts w:asciiTheme="majorHAnsi" w:hAnsiTheme="majorHAnsi" w:cstheme="majorHAnsi"/>
          <w:b/>
          <w:bCs/>
          <w:lang w:val="fr-FR"/>
        </w:rPr>
        <w:t>1 52</w:t>
      </w:r>
      <w:r w:rsidR="00860E56">
        <w:rPr>
          <w:rFonts w:asciiTheme="majorHAnsi" w:hAnsiTheme="majorHAnsi" w:cstheme="majorHAnsi"/>
          <w:b/>
          <w:bCs/>
          <w:lang w:val="fr-FR"/>
        </w:rPr>
        <w:t>0</w:t>
      </w:r>
      <w:r>
        <w:rPr>
          <w:rFonts w:asciiTheme="majorHAnsi" w:hAnsiTheme="majorHAnsi" w:cstheme="majorHAnsi"/>
          <w:b/>
          <w:bCs/>
          <w:lang w:val="fr-FR"/>
        </w:rPr>
        <w:t xml:space="preserve"> produits ; 40 % du portefeuille </w:t>
      </w:r>
    </w:p>
    <w:p w14:paraId="4C0169D7" w14:textId="5C32CA68" w:rsidR="008E0F5C" w:rsidRPr="004A36AE" w:rsidRDefault="003C051F" w:rsidP="008E0F5C">
      <w:pPr>
        <w:spacing w:after="0"/>
        <w:rPr>
          <w:rFonts w:asciiTheme="majorHAnsi" w:hAnsiTheme="majorHAnsi" w:cstheme="majorHAnsi"/>
          <w:lang w:val="fr-CI"/>
        </w:rPr>
      </w:pPr>
      <w:r>
        <w:rPr>
          <w:rFonts w:asciiTheme="majorHAnsi" w:hAnsiTheme="majorHAnsi" w:cstheme="majorHAnsi"/>
          <w:lang w:val="fr-FR"/>
        </w:rPr>
        <w:t>Le rapport « </w:t>
      </w:r>
      <w:proofErr w:type="spellStart"/>
      <w:r>
        <w:rPr>
          <w:rFonts w:asciiTheme="majorHAnsi" w:hAnsiTheme="majorHAnsi" w:cstheme="majorHAnsi"/>
          <w:lang w:val="fr-FR"/>
        </w:rPr>
        <w:t>Antimicrobial</w:t>
      </w:r>
      <w:proofErr w:type="spellEnd"/>
      <w:r>
        <w:rPr>
          <w:rFonts w:asciiTheme="majorHAnsi" w:hAnsiTheme="majorHAnsi" w:cstheme="majorHAnsi"/>
          <w:lang w:val="fr-FR"/>
        </w:rPr>
        <w:t xml:space="preserve"> Resistance Benchmark » est un rapport indépendant publié tous les deux ans. Il compare la manière avec laquelle un échantillon représentatif des entreprises pharmaceutiques répond à la menace représentée par les infections résistantes aux médicaments. Il évalue 30 </w:t>
      </w:r>
      <w:r w:rsidR="005168CF">
        <w:rPr>
          <w:rFonts w:asciiTheme="majorHAnsi" w:hAnsiTheme="majorHAnsi" w:cstheme="majorHAnsi"/>
          <w:lang w:val="fr-FR"/>
        </w:rPr>
        <w:t xml:space="preserve">entreprises </w:t>
      </w:r>
      <w:r>
        <w:rPr>
          <w:rFonts w:asciiTheme="majorHAnsi" w:hAnsiTheme="majorHAnsi" w:cstheme="majorHAnsi"/>
          <w:lang w:val="fr-FR"/>
        </w:rPr>
        <w:t xml:space="preserve">qui jouent un rôle de premier plan sur le marché des agents anti-infectieux, notamment les multinationales pharmaceutiques, les </w:t>
      </w:r>
      <w:r w:rsidR="00EF6B80">
        <w:rPr>
          <w:rFonts w:asciiTheme="majorHAnsi" w:hAnsiTheme="majorHAnsi" w:cstheme="majorHAnsi"/>
          <w:lang w:val="fr-FR"/>
        </w:rPr>
        <w:t xml:space="preserve">entreprises </w:t>
      </w:r>
      <w:r>
        <w:rPr>
          <w:rFonts w:asciiTheme="majorHAnsi" w:hAnsiTheme="majorHAnsi" w:cstheme="majorHAnsi"/>
          <w:lang w:val="fr-FR"/>
        </w:rPr>
        <w:t xml:space="preserve">de biotechnologie et les fabricants de médicaments génériques. Ces entreprises sont parmi les dernières à rester engagées </w:t>
      </w:r>
      <w:r w:rsidR="005168CF">
        <w:rPr>
          <w:rFonts w:asciiTheme="majorHAnsi" w:hAnsiTheme="majorHAnsi" w:cstheme="majorHAnsi"/>
          <w:lang w:val="fr-FR"/>
        </w:rPr>
        <w:t>dans le développement et la fabrication</w:t>
      </w:r>
      <w:r>
        <w:rPr>
          <w:rFonts w:asciiTheme="majorHAnsi" w:hAnsiTheme="majorHAnsi" w:cstheme="majorHAnsi"/>
          <w:lang w:val="fr-FR"/>
        </w:rPr>
        <w:t xml:space="preserve"> ces produits. Elles comptent au moins 1 52</w:t>
      </w:r>
      <w:r w:rsidR="00860E56">
        <w:rPr>
          <w:rFonts w:asciiTheme="majorHAnsi" w:hAnsiTheme="majorHAnsi" w:cstheme="majorHAnsi"/>
          <w:lang w:val="fr-FR"/>
        </w:rPr>
        <w:t>0</w:t>
      </w:r>
      <w:r>
        <w:rPr>
          <w:rFonts w:asciiTheme="majorHAnsi" w:hAnsiTheme="majorHAnsi" w:cstheme="majorHAnsi"/>
          <w:lang w:val="fr-FR"/>
        </w:rPr>
        <w:t xml:space="preserve"> médicaments ou vaccins antibactériens ou antifongiques sur le marché et représentent près de 40 % des antibiotiques en cours de développement. </w:t>
      </w:r>
    </w:p>
    <w:p w14:paraId="2AD11415" w14:textId="77777777" w:rsidR="003C051F" w:rsidRPr="004A36AE" w:rsidRDefault="003C051F" w:rsidP="00D46D8E">
      <w:pPr>
        <w:spacing w:after="0"/>
        <w:rPr>
          <w:rFonts w:asciiTheme="majorHAnsi" w:hAnsiTheme="majorHAnsi" w:cstheme="majorHAnsi"/>
          <w:lang w:val="fr-CI"/>
        </w:rPr>
      </w:pPr>
    </w:p>
    <w:p w14:paraId="2BF5F79E" w14:textId="3266FA54" w:rsidR="007445AC" w:rsidRPr="005168CF" w:rsidRDefault="00966EF8" w:rsidP="00413C47">
      <w:pPr>
        <w:spacing w:after="0"/>
        <w:rPr>
          <w:rFonts w:asciiTheme="majorHAnsi" w:hAnsiTheme="majorHAnsi" w:cstheme="majorHAnsi"/>
          <w:b/>
          <w:bCs/>
          <w:lang w:val="fr-CI"/>
        </w:rPr>
      </w:pPr>
      <w:r>
        <w:rPr>
          <w:rFonts w:asciiTheme="majorHAnsi" w:hAnsiTheme="majorHAnsi" w:cstheme="majorHAnsi"/>
          <w:b/>
          <w:bCs/>
          <w:lang w:val="fr-FR"/>
        </w:rPr>
        <w:t>Les statistiques montrent que la résistance</w:t>
      </w:r>
      <w:r w:rsidRPr="00F94B4A">
        <w:rPr>
          <w:rFonts w:asciiTheme="majorHAnsi" w:hAnsiTheme="majorHAnsi" w:cstheme="majorHAnsi"/>
          <w:b/>
          <w:bCs/>
          <w:lang w:val="fr-FR"/>
        </w:rPr>
        <w:t xml:space="preserve"> </w:t>
      </w:r>
      <w:r w:rsidR="00F94B4A" w:rsidRPr="004A36AE">
        <w:rPr>
          <w:b/>
          <w:bCs/>
        </w:rPr>
        <w:t>s’accroît</w:t>
      </w:r>
    </w:p>
    <w:p w14:paraId="435E535F" w14:textId="5C4272DC" w:rsidR="00413C47" w:rsidRPr="005168CF" w:rsidRDefault="00413C47" w:rsidP="00413C47">
      <w:pPr>
        <w:spacing w:after="0"/>
        <w:rPr>
          <w:rFonts w:asciiTheme="majorHAnsi" w:hAnsiTheme="majorHAnsi" w:cstheme="majorHAnsi"/>
          <w:lang w:val="fr-CI"/>
        </w:rPr>
      </w:pPr>
      <w:r>
        <w:rPr>
          <w:rFonts w:asciiTheme="majorHAnsi" w:hAnsiTheme="majorHAnsi" w:cstheme="majorHAnsi"/>
          <w:lang w:val="fr-FR"/>
        </w:rPr>
        <w:lastRenderedPageBreak/>
        <w:t>La faible rentabilité des antibiotiques rend le monde dangereusement dépendant d’une poignée de laboratoires pharmaceutiques qui développent et fabriquent ces médicaments. Depuis le rapport comparatif « </w:t>
      </w:r>
      <w:proofErr w:type="spellStart"/>
      <w:r>
        <w:rPr>
          <w:rFonts w:asciiTheme="majorHAnsi" w:hAnsiTheme="majorHAnsi" w:cstheme="majorHAnsi"/>
          <w:lang w:val="fr-FR"/>
        </w:rPr>
        <w:t>Antimicrobial</w:t>
      </w:r>
      <w:proofErr w:type="spellEnd"/>
      <w:r>
        <w:rPr>
          <w:rFonts w:asciiTheme="majorHAnsi" w:hAnsiTheme="majorHAnsi" w:cstheme="majorHAnsi"/>
          <w:lang w:val="fr-FR"/>
        </w:rPr>
        <w:t xml:space="preserve"> Resistance Benchmark » de 2018, deux autres entreprises (Novartis et Sanofi) ont abandonné la recherche et le développement de nouveaux antibiotiques, tandis qu</w:t>
      </w:r>
      <w:r w:rsidR="003232BB">
        <w:rPr>
          <w:rFonts w:asciiTheme="majorHAnsi" w:hAnsiTheme="majorHAnsi" w:cstheme="majorHAnsi"/>
          <w:lang w:val="fr-FR"/>
        </w:rPr>
        <w:t>e deux</w:t>
      </w:r>
      <w:r>
        <w:rPr>
          <w:rFonts w:asciiTheme="majorHAnsi" w:hAnsiTheme="majorHAnsi" w:cstheme="majorHAnsi"/>
          <w:lang w:val="fr-FR"/>
        </w:rPr>
        <w:t xml:space="preserve"> autre</w:t>
      </w:r>
      <w:r w:rsidR="003232BB">
        <w:rPr>
          <w:rFonts w:asciiTheme="majorHAnsi" w:hAnsiTheme="majorHAnsi" w:cstheme="majorHAnsi"/>
          <w:lang w:val="fr-FR"/>
        </w:rPr>
        <w:t>s</w:t>
      </w:r>
      <w:r>
        <w:rPr>
          <w:rFonts w:asciiTheme="majorHAnsi" w:hAnsiTheme="majorHAnsi" w:cstheme="majorHAnsi"/>
          <w:lang w:val="fr-FR"/>
        </w:rPr>
        <w:t xml:space="preserve"> (</w:t>
      </w:r>
      <w:proofErr w:type="spellStart"/>
      <w:r>
        <w:rPr>
          <w:rFonts w:asciiTheme="majorHAnsi" w:hAnsiTheme="majorHAnsi" w:cstheme="majorHAnsi"/>
          <w:lang w:val="fr-FR"/>
        </w:rPr>
        <w:t>Achaogen</w:t>
      </w:r>
      <w:proofErr w:type="spellEnd"/>
      <w:r w:rsidR="00CF2266">
        <w:rPr>
          <w:rFonts w:asciiTheme="majorHAnsi" w:hAnsiTheme="majorHAnsi" w:cstheme="majorHAnsi"/>
          <w:lang w:val="fr-FR"/>
        </w:rPr>
        <w:t xml:space="preserve"> et </w:t>
      </w:r>
      <w:proofErr w:type="spellStart"/>
      <w:r w:rsidR="00CF2266">
        <w:rPr>
          <w:rFonts w:asciiTheme="majorHAnsi" w:hAnsiTheme="majorHAnsi" w:cstheme="majorHAnsi"/>
          <w:lang w:val="fr-FR"/>
        </w:rPr>
        <w:t>Melinta</w:t>
      </w:r>
      <w:proofErr w:type="spellEnd"/>
      <w:r>
        <w:rPr>
          <w:rFonts w:asciiTheme="majorHAnsi" w:hAnsiTheme="majorHAnsi" w:cstheme="majorHAnsi"/>
          <w:lang w:val="fr-FR"/>
        </w:rPr>
        <w:t xml:space="preserve">) </w:t>
      </w:r>
      <w:r w:rsidR="003232BB">
        <w:rPr>
          <w:rFonts w:asciiTheme="majorHAnsi" w:hAnsiTheme="majorHAnsi" w:cstheme="majorHAnsi"/>
          <w:lang w:val="fr-FR"/>
        </w:rPr>
        <w:t>ont</w:t>
      </w:r>
      <w:r>
        <w:rPr>
          <w:rFonts w:asciiTheme="majorHAnsi" w:hAnsiTheme="majorHAnsi" w:cstheme="majorHAnsi"/>
          <w:lang w:val="fr-FR"/>
        </w:rPr>
        <w:t xml:space="preserve"> fait faillite. </w:t>
      </w:r>
    </w:p>
    <w:p w14:paraId="4FB1C1C3" w14:textId="77777777" w:rsidR="00413C47" w:rsidRPr="005168CF" w:rsidRDefault="00413C47" w:rsidP="00C56A63">
      <w:pPr>
        <w:spacing w:after="0"/>
        <w:rPr>
          <w:rFonts w:asciiTheme="majorHAnsi" w:hAnsiTheme="majorHAnsi" w:cstheme="majorHAnsi"/>
          <w:lang w:val="fr-CI"/>
        </w:rPr>
      </w:pPr>
    </w:p>
    <w:p w14:paraId="5C41CB90" w14:textId="505F4D6F" w:rsidR="00CF5F36" w:rsidRPr="005168CF" w:rsidRDefault="004D2605" w:rsidP="00F732E9">
      <w:pPr>
        <w:spacing w:after="0"/>
        <w:rPr>
          <w:rFonts w:asciiTheme="majorHAnsi" w:hAnsiTheme="majorHAnsi" w:cstheme="majorHAnsi"/>
          <w:lang w:val="fr-CI"/>
        </w:rPr>
      </w:pPr>
      <w:r>
        <w:rPr>
          <w:rFonts w:asciiTheme="majorHAnsi" w:hAnsiTheme="majorHAnsi" w:cstheme="majorHAnsi"/>
          <w:lang w:val="fr-FR"/>
        </w:rPr>
        <w:t xml:space="preserve">Les statistiques les plus récentes montrent l’ampleur du problème. On estime que la résistance aux antibiotiques et aux antifongiques est responsable de 35 900 décès chaque année aux États-Unis. Dans l’Union européenne ou l’Espace économique européen, la résistance représente au moins 17 % des infections et la résistance aux antimicrobiens est responsable de 33 000 décès par an. En Inde, la résistance dépasse 70 % pour de nombreuses bactéries répandues. </w:t>
      </w:r>
    </w:p>
    <w:p w14:paraId="0A3F250B" w14:textId="77777777" w:rsidR="00CF5F36" w:rsidRPr="005168CF" w:rsidRDefault="00CF5F36" w:rsidP="00C56A63">
      <w:pPr>
        <w:spacing w:after="0"/>
        <w:rPr>
          <w:rFonts w:asciiTheme="majorHAnsi" w:hAnsiTheme="majorHAnsi" w:cstheme="majorHAnsi"/>
          <w:lang w:val="fr-CI"/>
        </w:rPr>
      </w:pPr>
    </w:p>
    <w:p w14:paraId="2A94C3D5" w14:textId="73160BBB" w:rsidR="009B4F9C" w:rsidRPr="005168CF" w:rsidRDefault="000A3387" w:rsidP="00A60348">
      <w:pPr>
        <w:spacing w:after="0"/>
        <w:rPr>
          <w:rFonts w:asciiTheme="majorHAnsi" w:hAnsiTheme="majorHAnsi" w:cstheme="majorHAnsi"/>
          <w:lang w:val="fr-CI"/>
        </w:rPr>
      </w:pPr>
      <w:r>
        <w:rPr>
          <w:rFonts w:asciiTheme="majorHAnsi" w:hAnsiTheme="majorHAnsi" w:cstheme="majorHAnsi"/>
          <w:lang w:val="fr-FR"/>
        </w:rPr>
        <w:t>Ce que l’on sait moins, c’est que le manque d’accès aux médicaments fait aujourd’hui plus de victimes que la résistance médicamenteuse. Cela signifie qu’il est d’autant plus essentiel d’améliorer l’accès aux médicaments encore efficaces, bien qu’une utilisation prudente soit primordiale pour s’assurer que les médicaments conservent leur efficacité le plus longtemps possible.</w:t>
      </w:r>
    </w:p>
    <w:p w14:paraId="6FCD31FD" w14:textId="0A29DA02" w:rsidR="00CF5F36" w:rsidRPr="005168CF" w:rsidRDefault="00CF5F36" w:rsidP="00D46D8E">
      <w:pPr>
        <w:spacing w:after="0"/>
        <w:rPr>
          <w:rFonts w:asciiTheme="majorHAnsi" w:hAnsiTheme="majorHAnsi" w:cstheme="majorHAnsi"/>
          <w:lang w:val="fr-CI"/>
        </w:rPr>
      </w:pPr>
    </w:p>
    <w:p w14:paraId="10E630A5" w14:textId="50154C57" w:rsidR="00FF7054" w:rsidRPr="004A36AE" w:rsidRDefault="00FF7054" w:rsidP="00D46D8E">
      <w:pPr>
        <w:spacing w:after="0"/>
        <w:rPr>
          <w:rFonts w:asciiTheme="majorHAnsi" w:hAnsiTheme="majorHAnsi" w:cstheme="majorHAnsi"/>
          <w:b/>
          <w:bCs/>
          <w:lang w:val="fr-FR"/>
        </w:rPr>
      </w:pPr>
      <w:r w:rsidRPr="004A36AE">
        <w:rPr>
          <w:rFonts w:asciiTheme="majorHAnsi" w:hAnsiTheme="majorHAnsi" w:cstheme="majorHAnsi"/>
          <w:b/>
          <w:bCs/>
          <w:lang w:val="fr-FR"/>
        </w:rPr>
        <w:t>Comment performent les entreprises en matière de résistance depuis 2018 ?</w:t>
      </w:r>
    </w:p>
    <w:p w14:paraId="60DEACC5" w14:textId="58CAFD7A" w:rsidR="00512BB1" w:rsidRPr="00333258" w:rsidRDefault="003438D5" w:rsidP="00D46D8E">
      <w:pPr>
        <w:spacing w:after="0"/>
        <w:rPr>
          <w:rFonts w:asciiTheme="majorHAnsi" w:hAnsiTheme="majorHAnsi" w:cstheme="majorHAnsi"/>
          <w:lang w:val="fr-CI"/>
        </w:rPr>
      </w:pPr>
      <w:r>
        <w:rPr>
          <w:rFonts w:asciiTheme="majorHAnsi" w:hAnsiTheme="majorHAnsi" w:cstheme="majorHAnsi"/>
          <w:lang w:val="fr-FR"/>
        </w:rPr>
        <w:t xml:space="preserve">Trois </w:t>
      </w:r>
      <w:r w:rsidR="005168CF">
        <w:rPr>
          <w:rFonts w:asciiTheme="majorHAnsi" w:hAnsiTheme="majorHAnsi" w:cstheme="majorHAnsi"/>
          <w:lang w:val="fr-FR"/>
        </w:rPr>
        <w:t xml:space="preserve">entreprises </w:t>
      </w:r>
      <w:r>
        <w:rPr>
          <w:rFonts w:asciiTheme="majorHAnsi" w:hAnsiTheme="majorHAnsi" w:cstheme="majorHAnsi"/>
          <w:lang w:val="fr-FR"/>
        </w:rPr>
        <w:t xml:space="preserve">sont identifiées comme des leaders en 2020 : GSK, </w:t>
      </w:r>
      <w:proofErr w:type="spellStart"/>
      <w:r>
        <w:rPr>
          <w:rFonts w:asciiTheme="majorHAnsi" w:hAnsiTheme="majorHAnsi" w:cstheme="majorHAnsi"/>
          <w:lang w:val="fr-FR"/>
        </w:rPr>
        <w:t>Entasis</w:t>
      </w:r>
      <w:proofErr w:type="spellEnd"/>
      <w:r>
        <w:rPr>
          <w:rFonts w:asciiTheme="majorHAnsi" w:hAnsiTheme="majorHAnsi" w:cstheme="majorHAnsi"/>
          <w:lang w:val="fr-FR"/>
        </w:rPr>
        <w:t xml:space="preserve"> et </w:t>
      </w:r>
      <w:proofErr w:type="spellStart"/>
      <w:r>
        <w:rPr>
          <w:rFonts w:asciiTheme="majorHAnsi" w:hAnsiTheme="majorHAnsi" w:cstheme="majorHAnsi"/>
          <w:lang w:val="fr-FR"/>
        </w:rPr>
        <w:t>Cipla</w:t>
      </w:r>
      <w:proofErr w:type="spellEnd"/>
      <w:r>
        <w:rPr>
          <w:rFonts w:asciiTheme="majorHAnsi" w:hAnsiTheme="majorHAnsi" w:cstheme="majorHAnsi"/>
          <w:lang w:val="fr-FR"/>
        </w:rPr>
        <w:t xml:space="preserve">, suivies de près par quelques entreprises dynamiques. GSK possède le portefeuille le plus important et développe la majeure partie des nouveaux vaccins. Cependant, l’entreprise a </w:t>
      </w:r>
      <w:r w:rsidR="003031F5">
        <w:rPr>
          <w:rFonts w:asciiTheme="majorHAnsi" w:hAnsiTheme="majorHAnsi" w:cstheme="majorHAnsi"/>
          <w:lang w:val="fr-FR"/>
        </w:rPr>
        <w:t xml:space="preserve">reculé </w:t>
      </w:r>
      <w:r>
        <w:rPr>
          <w:rFonts w:asciiTheme="majorHAnsi" w:hAnsiTheme="majorHAnsi" w:cstheme="majorHAnsi"/>
          <w:lang w:val="fr-FR"/>
        </w:rPr>
        <w:t xml:space="preserve">dans certains domaines depuis 2018, tandis que d’autres ont vu leur classement s’améliorer. Pfizer, par exemple, arrive désormais en tête en termes </w:t>
      </w:r>
      <w:r w:rsidR="003031F5">
        <w:rPr>
          <w:rFonts w:asciiTheme="majorHAnsi" w:hAnsiTheme="majorHAnsi" w:cstheme="majorHAnsi"/>
          <w:lang w:val="fr-FR"/>
        </w:rPr>
        <w:t xml:space="preserve">de </w:t>
      </w:r>
      <w:r w:rsidR="00333258">
        <w:rPr>
          <w:rFonts w:asciiTheme="majorHAnsi" w:hAnsiTheme="majorHAnsi" w:cstheme="majorHAnsi"/>
          <w:lang w:val="fr-FR"/>
        </w:rPr>
        <w:t>bonne gouvernance (« </w:t>
      </w:r>
      <w:proofErr w:type="spellStart"/>
      <w:r w:rsidR="003031F5">
        <w:rPr>
          <w:rFonts w:asciiTheme="majorHAnsi" w:hAnsiTheme="majorHAnsi" w:cstheme="majorHAnsi"/>
          <w:lang w:val="fr-FR"/>
        </w:rPr>
        <w:t>stewardship</w:t>
      </w:r>
      <w:proofErr w:type="spellEnd"/>
      <w:r w:rsidR="00333258">
        <w:rPr>
          <w:rFonts w:asciiTheme="majorHAnsi" w:hAnsiTheme="majorHAnsi" w:cstheme="majorHAnsi"/>
          <w:lang w:val="fr-FR"/>
        </w:rPr>
        <w:t> »)</w:t>
      </w:r>
      <w:r>
        <w:rPr>
          <w:rFonts w:asciiTheme="majorHAnsi" w:hAnsiTheme="majorHAnsi" w:cstheme="majorHAnsi"/>
          <w:lang w:val="fr-FR"/>
        </w:rPr>
        <w:t xml:space="preserve">. L’entreprise </w:t>
      </w:r>
      <w:r w:rsidR="005168CF">
        <w:rPr>
          <w:rFonts w:asciiTheme="majorHAnsi" w:hAnsiTheme="majorHAnsi" w:cstheme="majorHAnsi"/>
          <w:lang w:val="fr-FR"/>
        </w:rPr>
        <w:t xml:space="preserve">pharmaceutique </w:t>
      </w:r>
      <w:r>
        <w:rPr>
          <w:rFonts w:asciiTheme="majorHAnsi" w:hAnsiTheme="majorHAnsi" w:cstheme="majorHAnsi"/>
          <w:lang w:val="fr-FR"/>
        </w:rPr>
        <w:t xml:space="preserve">est également la première à partager publiquement ses données de surveillance brutes. Johnson &amp; Johnson </w:t>
      </w:r>
      <w:r w:rsidR="00AF6ED6">
        <w:rPr>
          <w:rFonts w:asciiTheme="majorHAnsi" w:hAnsiTheme="majorHAnsi" w:cstheme="majorHAnsi"/>
          <w:lang w:val="fr-FR"/>
        </w:rPr>
        <w:t>délivre une robuste performance pour</w:t>
      </w:r>
      <w:r>
        <w:rPr>
          <w:rFonts w:asciiTheme="majorHAnsi" w:hAnsiTheme="majorHAnsi" w:cstheme="majorHAnsi"/>
          <w:lang w:val="fr-FR"/>
        </w:rPr>
        <w:t xml:space="preserve"> la deuxième année</w:t>
      </w:r>
      <w:r w:rsidR="00AF6ED6">
        <w:rPr>
          <w:rFonts w:asciiTheme="majorHAnsi" w:hAnsiTheme="majorHAnsi" w:cstheme="majorHAnsi"/>
          <w:lang w:val="fr-FR"/>
        </w:rPr>
        <w:t xml:space="preserve"> consécutive</w:t>
      </w:r>
      <w:r>
        <w:rPr>
          <w:rFonts w:asciiTheme="majorHAnsi" w:hAnsiTheme="majorHAnsi" w:cstheme="majorHAnsi"/>
          <w:lang w:val="fr-FR"/>
        </w:rPr>
        <w:t xml:space="preserve">, </w:t>
      </w:r>
      <w:r w:rsidR="00AF6ED6">
        <w:rPr>
          <w:rFonts w:asciiTheme="majorHAnsi" w:hAnsiTheme="majorHAnsi" w:cstheme="majorHAnsi"/>
          <w:lang w:val="fr-FR"/>
        </w:rPr>
        <w:t>notamment</w:t>
      </w:r>
      <w:r>
        <w:rPr>
          <w:rFonts w:asciiTheme="majorHAnsi" w:hAnsiTheme="majorHAnsi" w:cstheme="majorHAnsi"/>
          <w:lang w:val="fr-FR"/>
        </w:rPr>
        <w:t xml:space="preserve"> grâce à ses mesures visant à améliorer l’accès au traitement contre la tuberculose (TB).</w:t>
      </w:r>
    </w:p>
    <w:p w14:paraId="0EFB2D76" w14:textId="550BB8DF" w:rsidR="00512BB1" w:rsidRPr="00333258" w:rsidRDefault="00512BB1" w:rsidP="00D46D8E">
      <w:pPr>
        <w:spacing w:after="0"/>
        <w:rPr>
          <w:rFonts w:asciiTheme="majorHAnsi" w:hAnsiTheme="majorHAnsi" w:cstheme="majorHAnsi"/>
          <w:lang w:val="fr-CI"/>
        </w:rPr>
      </w:pPr>
    </w:p>
    <w:p w14:paraId="765B33EE" w14:textId="6E49D687" w:rsidR="0005067D" w:rsidRPr="004A36AE" w:rsidRDefault="00EA02EE" w:rsidP="006D5121">
      <w:pPr>
        <w:spacing w:after="0"/>
        <w:rPr>
          <w:rFonts w:asciiTheme="majorHAnsi" w:hAnsiTheme="majorHAnsi" w:cstheme="majorHAnsi"/>
          <w:lang w:val="fr-CI"/>
        </w:rPr>
      </w:pPr>
      <w:proofErr w:type="spellStart"/>
      <w:r>
        <w:rPr>
          <w:rFonts w:asciiTheme="majorHAnsi" w:hAnsiTheme="majorHAnsi" w:cstheme="majorHAnsi"/>
          <w:lang w:val="fr-FR"/>
        </w:rPr>
        <w:t>Entasis</w:t>
      </w:r>
      <w:proofErr w:type="spellEnd"/>
      <w:r>
        <w:rPr>
          <w:rFonts w:asciiTheme="majorHAnsi" w:hAnsiTheme="majorHAnsi" w:cstheme="majorHAnsi"/>
          <w:lang w:val="fr-FR"/>
        </w:rPr>
        <w:t xml:space="preserve"> concentre ses activités de R</w:t>
      </w:r>
      <w:r w:rsidR="00612658">
        <w:rPr>
          <w:rFonts w:asciiTheme="majorHAnsi" w:hAnsiTheme="majorHAnsi" w:cstheme="majorHAnsi"/>
          <w:lang w:val="fr-FR"/>
        </w:rPr>
        <w:t>echerche et Développement (R&amp;</w:t>
      </w:r>
      <w:r>
        <w:rPr>
          <w:rFonts w:asciiTheme="majorHAnsi" w:hAnsiTheme="majorHAnsi" w:cstheme="majorHAnsi"/>
          <w:lang w:val="fr-FR"/>
        </w:rPr>
        <w:t>D</w:t>
      </w:r>
      <w:r w:rsidR="00612658">
        <w:rPr>
          <w:rFonts w:asciiTheme="majorHAnsi" w:hAnsiTheme="majorHAnsi" w:cstheme="majorHAnsi"/>
          <w:lang w:val="fr-FR"/>
        </w:rPr>
        <w:t>)</w:t>
      </w:r>
      <w:r>
        <w:rPr>
          <w:rFonts w:asciiTheme="majorHAnsi" w:hAnsiTheme="majorHAnsi" w:cstheme="majorHAnsi"/>
          <w:lang w:val="fr-FR"/>
        </w:rPr>
        <w:t xml:space="preserve"> exclusivement sur les bactéries dans la catégorie de menace la plus élevée, </w:t>
      </w:r>
      <w:r w:rsidR="00AF6ED6">
        <w:rPr>
          <w:rFonts w:asciiTheme="majorHAnsi" w:hAnsiTheme="majorHAnsi" w:cstheme="majorHAnsi"/>
          <w:lang w:val="fr-FR"/>
        </w:rPr>
        <w:t>y compris avec la bactérie</w:t>
      </w:r>
      <w:r>
        <w:rPr>
          <w:rFonts w:asciiTheme="majorHAnsi" w:hAnsiTheme="majorHAnsi" w:cstheme="majorHAnsi"/>
          <w:lang w:val="fr-FR"/>
        </w:rPr>
        <w:t xml:space="preserve"> </w:t>
      </w:r>
      <w:r>
        <w:rPr>
          <w:rFonts w:asciiTheme="majorHAnsi" w:hAnsiTheme="majorHAnsi" w:cstheme="majorHAnsi"/>
          <w:i/>
          <w:iCs/>
          <w:lang w:val="fr-FR"/>
        </w:rPr>
        <w:t>A. baumannii</w:t>
      </w:r>
      <w:r>
        <w:rPr>
          <w:rFonts w:asciiTheme="majorHAnsi" w:hAnsiTheme="majorHAnsi" w:cstheme="majorHAnsi"/>
          <w:lang w:val="fr-FR"/>
        </w:rPr>
        <w:t xml:space="preserve">, </w:t>
      </w:r>
      <w:r w:rsidR="00AF6ED6">
        <w:rPr>
          <w:rFonts w:asciiTheme="majorHAnsi" w:hAnsiTheme="majorHAnsi" w:cstheme="majorHAnsi"/>
          <w:lang w:val="fr-FR"/>
        </w:rPr>
        <w:t>pouvant</w:t>
      </w:r>
      <w:r>
        <w:rPr>
          <w:rFonts w:asciiTheme="majorHAnsi" w:hAnsiTheme="majorHAnsi" w:cstheme="majorHAnsi"/>
          <w:lang w:val="fr-FR"/>
        </w:rPr>
        <w:t xml:space="preserve"> entraîner de graves infections résistantes aux médicaments telles que la pneumonie, la septicémie et la méningite. </w:t>
      </w:r>
      <w:proofErr w:type="spellStart"/>
      <w:r>
        <w:rPr>
          <w:rFonts w:asciiTheme="majorHAnsi" w:hAnsiTheme="majorHAnsi" w:cstheme="majorHAnsi"/>
          <w:lang w:val="fr-FR"/>
        </w:rPr>
        <w:t>Cipla</w:t>
      </w:r>
      <w:proofErr w:type="spellEnd"/>
      <w:r>
        <w:rPr>
          <w:rFonts w:asciiTheme="majorHAnsi" w:hAnsiTheme="majorHAnsi" w:cstheme="majorHAnsi"/>
          <w:lang w:val="fr-FR"/>
        </w:rPr>
        <w:t xml:space="preserve"> est l’une des trois entreprises à avoir totalement dissocié les primes de ses commerciaux des volumes de ventes en 2020, un nouveau pas important vers la réduction de la survente.</w:t>
      </w:r>
    </w:p>
    <w:p w14:paraId="12878343" w14:textId="1A337B44" w:rsidR="005B047D" w:rsidRPr="004A36AE" w:rsidRDefault="005B047D" w:rsidP="005B047D">
      <w:pPr>
        <w:spacing w:after="0"/>
        <w:rPr>
          <w:rFonts w:asciiTheme="majorHAnsi" w:hAnsiTheme="majorHAnsi" w:cstheme="majorHAnsi"/>
          <w:lang w:val="fr-CI"/>
        </w:rPr>
      </w:pPr>
    </w:p>
    <w:p w14:paraId="79AFFE5F" w14:textId="4A09AF01" w:rsidR="00651104" w:rsidRPr="004A36AE" w:rsidRDefault="00673F1F" w:rsidP="006D5121">
      <w:pPr>
        <w:spacing w:after="0"/>
        <w:rPr>
          <w:rFonts w:asciiTheme="majorHAnsi" w:hAnsiTheme="majorHAnsi" w:cstheme="majorHAnsi"/>
          <w:lang w:val="fr-CI"/>
        </w:rPr>
      </w:pPr>
      <w:r>
        <w:rPr>
          <w:rFonts w:asciiTheme="majorHAnsi" w:hAnsiTheme="majorHAnsi" w:cstheme="majorHAnsi"/>
          <w:lang w:val="fr-FR"/>
        </w:rPr>
        <w:t>Les fabricants de médicaments génériques commencent à s’impliquer dans</w:t>
      </w:r>
      <w:r w:rsidR="0032049F">
        <w:rPr>
          <w:rFonts w:asciiTheme="majorHAnsi" w:hAnsiTheme="majorHAnsi" w:cstheme="majorHAnsi"/>
          <w:lang w:val="fr-FR"/>
        </w:rPr>
        <w:t xml:space="preserve"> la sphère de</w:t>
      </w:r>
      <w:r>
        <w:rPr>
          <w:rFonts w:asciiTheme="majorHAnsi" w:hAnsiTheme="majorHAnsi" w:cstheme="majorHAnsi"/>
          <w:lang w:val="fr-FR"/>
        </w:rPr>
        <w:t xml:space="preserve"> l’innovation et l’accès aux médicaments. Mylan a été autorisé par </w:t>
      </w:r>
      <w:proofErr w:type="spellStart"/>
      <w:r>
        <w:rPr>
          <w:rFonts w:asciiTheme="majorHAnsi" w:hAnsiTheme="majorHAnsi" w:cstheme="majorHAnsi"/>
          <w:lang w:val="fr-FR"/>
        </w:rPr>
        <w:t>Otsuka</w:t>
      </w:r>
      <w:proofErr w:type="spellEnd"/>
      <w:r>
        <w:rPr>
          <w:rFonts w:asciiTheme="majorHAnsi" w:hAnsiTheme="majorHAnsi" w:cstheme="majorHAnsi"/>
          <w:lang w:val="fr-FR"/>
        </w:rPr>
        <w:t xml:space="preserve"> à commercialiser le delamanid, un médicament antituberculeux, en Afrique du Sud, en Inde et dans d’autres pays lourdement touchés par la maladie ; </w:t>
      </w:r>
      <w:proofErr w:type="spellStart"/>
      <w:r>
        <w:rPr>
          <w:rFonts w:asciiTheme="majorHAnsi" w:hAnsiTheme="majorHAnsi" w:cstheme="majorHAnsi"/>
          <w:lang w:val="fr-FR"/>
        </w:rPr>
        <w:t>Cipla</w:t>
      </w:r>
      <w:proofErr w:type="spellEnd"/>
      <w:r>
        <w:rPr>
          <w:rFonts w:asciiTheme="majorHAnsi" w:hAnsiTheme="majorHAnsi" w:cstheme="majorHAnsi"/>
          <w:lang w:val="fr-FR"/>
        </w:rPr>
        <w:t xml:space="preserve"> a acheté la </w:t>
      </w:r>
      <w:proofErr w:type="spellStart"/>
      <w:r>
        <w:rPr>
          <w:rFonts w:asciiTheme="majorHAnsi" w:hAnsiTheme="majorHAnsi" w:cstheme="majorHAnsi"/>
          <w:lang w:val="fr-FR"/>
        </w:rPr>
        <w:t>plazomicine</w:t>
      </w:r>
      <w:proofErr w:type="spellEnd"/>
      <w:r>
        <w:rPr>
          <w:rFonts w:asciiTheme="majorHAnsi" w:hAnsiTheme="majorHAnsi" w:cstheme="majorHAnsi"/>
          <w:lang w:val="fr-FR"/>
        </w:rPr>
        <w:t xml:space="preserve">, un antibiotique développé par </w:t>
      </w:r>
      <w:proofErr w:type="spellStart"/>
      <w:r>
        <w:rPr>
          <w:rFonts w:asciiTheme="majorHAnsi" w:hAnsiTheme="majorHAnsi" w:cstheme="majorHAnsi"/>
          <w:lang w:val="fr-FR"/>
        </w:rPr>
        <w:t>Achaogen</w:t>
      </w:r>
      <w:proofErr w:type="spellEnd"/>
      <w:r>
        <w:rPr>
          <w:rFonts w:asciiTheme="majorHAnsi" w:hAnsiTheme="majorHAnsi" w:cstheme="majorHAnsi"/>
          <w:lang w:val="fr-FR"/>
        </w:rPr>
        <w:t xml:space="preserve"> ; et </w:t>
      </w:r>
      <w:proofErr w:type="spellStart"/>
      <w:r>
        <w:rPr>
          <w:rFonts w:asciiTheme="majorHAnsi" w:hAnsiTheme="majorHAnsi" w:cstheme="majorHAnsi"/>
          <w:lang w:val="fr-FR"/>
        </w:rPr>
        <w:t>Teva</w:t>
      </w:r>
      <w:proofErr w:type="spellEnd"/>
      <w:r>
        <w:rPr>
          <w:rFonts w:asciiTheme="majorHAnsi" w:hAnsiTheme="majorHAnsi" w:cstheme="majorHAnsi"/>
          <w:lang w:val="fr-FR"/>
        </w:rPr>
        <w:t xml:space="preserve"> fait état de stratégies de tarification et visant à garantir l’approvisionnement. </w:t>
      </w:r>
    </w:p>
    <w:p w14:paraId="7B16B34F" w14:textId="77777777" w:rsidR="00651104" w:rsidRPr="004A36AE" w:rsidRDefault="00651104" w:rsidP="006D5121">
      <w:pPr>
        <w:spacing w:after="0"/>
        <w:rPr>
          <w:rFonts w:asciiTheme="majorHAnsi" w:hAnsiTheme="majorHAnsi" w:cstheme="majorHAnsi"/>
          <w:lang w:val="fr-CI"/>
        </w:rPr>
      </w:pPr>
    </w:p>
    <w:p w14:paraId="52930E98" w14:textId="4C2F8662" w:rsidR="00AE5359" w:rsidRPr="004A36AE" w:rsidRDefault="00F71D61" w:rsidP="006D5121">
      <w:pPr>
        <w:spacing w:after="0"/>
        <w:rPr>
          <w:rFonts w:asciiTheme="majorHAnsi" w:hAnsiTheme="majorHAnsi" w:cstheme="majorHAnsi"/>
          <w:lang w:val="fr-CI"/>
        </w:rPr>
      </w:pPr>
      <w:r>
        <w:rPr>
          <w:rFonts w:asciiTheme="majorHAnsi" w:hAnsiTheme="majorHAnsi" w:cstheme="majorHAnsi"/>
          <w:lang w:val="fr-FR"/>
        </w:rPr>
        <w:t>Par ailleurs, le soutien financier accordé aux activités de R&amp;D liées aux antibactériens a permis à des</w:t>
      </w:r>
      <w:r w:rsidR="0032049F">
        <w:rPr>
          <w:rFonts w:asciiTheme="majorHAnsi" w:hAnsiTheme="majorHAnsi" w:cstheme="majorHAnsi"/>
          <w:lang w:val="fr-FR"/>
        </w:rPr>
        <w:t xml:space="preserve"> plus petites</w:t>
      </w:r>
      <w:r>
        <w:rPr>
          <w:rFonts w:asciiTheme="majorHAnsi" w:hAnsiTheme="majorHAnsi" w:cstheme="majorHAnsi"/>
          <w:lang w:val="fr-FR"/>
        </w:rPr>
        <w:t xml:space="preserve"> entreprises axées sur la R&amp;D et à des </w:t>
      </w:r>
      <w:r w:rsidR="0032049F">
        <w:rPr>
          <w:rFonts w:asciiTheme="majorHAnsi" w:hAnsiTheme="majorHAnsi" w:cstheme="majorHAnsi"/>
          <w:lang w:val="fr-FR"/>
        </w:rPr>
        <w:t xml:space="preserve">entreprises </w:t>
      </w:r>
      <w:r>
        <w:rPr>
          <w:rFonts w:asciiTheme="majorHAnsi" w:hAnsiTheme="majorHAnsi" w:cstheme="majorHAnsi"/>
          <w:lang w:val="fr-FR"/>
        </w:rPr>
        <w:t xml:space="preserve">de biotechnologie d’entrer sur le marché. Ces </w:t>
      </w:r>
      <w:r w:rsidR="00612658">
        <w:rPr>
          <w:rFonts w:asciiTheme="majorHAnsi" w:hAnsiTheme="majorHAnsi" w:cstheme="majorHAnsi"/>
          <w:lang w:val="fr-FR"/>
        </w:rPr>
        <w:t xml:space="preserve">entreprises </w:t>
      </w:r>
      <w:r>
        <w:rPr>
          <w:rFonts w:asciiTheme="majorHAnsi" w:hAnsiTheme="majorHAnsi" w:cstheme="majorHAnsi"/>
          <w:lang w:val="fr-FR"/>
        </w:rPr>
        <w:t xml:space="preserve">développent quelques-uns des médicaments les plus innovants, notamment le </w:t>
      </w:r>
      <w:proofErr w:type="spellStart"/>
      <w:r>
        <w:rPr>
          <w:rFonts w:asciiTheme="majorHAnsi" w:hAnsiTheme="majorHAnsi" w:cstheme="majorHAnsi"/>
          <w:lang w:val="fr-FR"/>
        </w:rPr>
        <w:t>ridinilazole</w:t>
      </w:r>
      <w:proofErr w:type="spellEnd"/>
      <w:r>
        <w:rPr>
          <w:rFonts w:asciiTheme="majorHAnsi" w:hAnsiTheme="majorHAnsi" w:cstheme="majorHAnsi"/>
          <w:lang w:val="fr-FR"/>
        </w:rPr>
        <w:t xml:space="preserve"> de </w:t>
      </w:r>
      <w:proofErr w:type="spellStart"/>
      <w:r>
        <w:rPr>
          <w:rFonts w:asciiTheme="majorHAnsi" w:hAnsiTheme="majorHAnsi" w:cstheme="majorHAnsi"/>
          <w:lang w:val="fr-FR"/>
        </w:rPr>
        <w:t>Summit</w:t>
      </w:r>
      <w:proofErr w:type="spellEnd"/>
      <w:r>
        <w:rPr>
          <w:rFonts w:asciiTheme="majorHAnsi" w:hAnsiTheme="majorHAnsi" w:cstheme="majorHAnsi"/>
          <w:lang w:val="fr-FR"/>
        </w:rPr>
        <w:t xml:space="preserve">, qui cible </w:t>
      </w:r>
      <w:r>
        <w:rPr>
          <w:rFonts w:asciiTheme="majorHAnsi" w:hAnsiTheme="majorHAnsi" w:cstheme="majorHAnsi"/>
          <w:i/>
          <w:iCs/>
          <w:lang w:val="fr-FR"/>
        </w:rPr>
        <w:t>C. difficile</w:t>
      </w:r>
      <w:r>
        <w:rPr>
          <w:rFonts w:asciiTheme="majorHAnsi" w:hAnsiTheme="majorHAnsi" w:cstheme="majorHAnsi"/>
          <w:lang w:val="fr-FR"/>
        </w:rPr>
        <w:t>. Toutefois, ces entreprises ne peuvent normalement entreprendre que les premiers stades de développement et, face au manque d’investissements visant à faire progresser les produits candidats, les projets stagnent et ne peuvent être commercialisés.</w:t>
      </w:r>
    </w:p>
    <w:p w14:paraId="219DE4F5" w14:textId="77777777" w:rsidR="00036EE8" w:rsidRPr="004A36AE" w:rsidRDefault="00036EE8" w:rsidP="006D5121">
      <w:pPr>
        <w:spacing w:after="0"/>
        <w:rPr>
          <w:rFonts w:asciiTheme="majorHAnsi" w:hAnsiTheme="majorHAnsi" w:cstheme="majorHAnsi"/>
          <w:lang w:val="fr-CI"/>
        </w:rPr>
      </w:pPr>
    </w:p>
    <w:p w14:paraId="00CAC9B3" w14:textId="5CC9397F" w:rsidR="0063169C" w:rsidRPr="004A36AE" w:rsidRDefault="00A57714" w:rsidP="00655150">
      <w:pPr>
        <w:spacing w:after="0"/>
        <w:rPr>
          <w:rFonts w:asciiTheme="majorHAnsi" w:hAnsiTheme="majorHAnsi" w:cstheme="majorHAnsi"/>
          <w:i/>
          <w:iCs/>
          <w:lang w:val="fr-CI"/>
        </w:rPr>
      </w:pPr>
      <w:r>
        <w:rPr>
          <w:rFonts w:asciiTheme="majorHAnsi" w:hAnsiTheme="majorHAnsi" w:cstheme="majorHAnsi"/>
          <w:i/>
          <w:iCs/>
          <w:lang w:val="fr-FR"/>
        </w:rPr>
        <w:lastRenderedPageBreak/>
        <w:t xml:space="preserve">« Ce deuxième </w:t>
      </w:r>
      <w:r w:rsidR="0064549C">
        <w:rPr>
          <w:rFonts w:asciiTheme="majorHAnsi" w:hAnsiTheme="majorHAnsi" w:cstheme="majorHAnsi"/>
          <w:i/>
          <w:iCs/>
          <w:lang w:val="fr-FR"/>
        </w:rPr>
        <w:t>Benchmark</w:t>
      </w:r>
      <w:r>
        <w:rPr>
          <w:rFonts w:asciiTheme="majorHAnsi" w:hAnsiTheme="majorHAnsi" w:cstheme="majorHAnsi"/>
          <w:i/>
          <w:iCs/>
          <w:lang w:val="fr-FR"/>
        </w:rPr>
        <w:t xml:space="preserve"> permet un </w:t>
      </w:r>
      <w:r w:rsidR="0099272A">
        <w:rPr>
          <w:rFonts w:asciiTheme="majorHAnsi" w:hAnsiTheme="majorHAnsi" w:cstheme="majorHAnsi"/>
          <w:i/>
          <w:iCs/>
          <w:lang w:val="fr-FR"/>
        </w:rPr>
        <w:t xml:space="preserve">rappel </w:t>
      </w:r>
      <w:r>
        <w:rPr>
          <w:rFonts w:asciiTheme="majorHAnsi" w:hAnsiTheme="majorHAnsi" w:cstheme="majorHAnsi"/>
          <w:i/>
          <w:iCs/>
          <w:lang w:val="fr-FR"/>
        </w:rPr>
        <w:t>à la réalité. Les progrès accomplis sont éclipsés par notre dépendance croissan</w:t>
      </w:r>
      <w:r w:rsidR="00612658">
        <w:rPr>
          <w:rFonts w:asciiTheme="majorHAnsi" w:hAnsiTheme="majorHAnsi" w:cstheme="majorHAnsi"/>
          <w:i/>
          <w:iCs/>
          <w:lang w:val="fr-FR"/>
        </w:rPr>
        <w:t>t</w:t>
      </w:r>
      <w:r>
        <w:rPr>
          <w:rFonts w:asciiTheme="majorHAnsi" w:hAnsiTheme="majorHAnsi" w:cstheme="majorHAnsi"/>
          <w:i/>
          <w:iCs/>
          <w:lang w:val="fr-FR"/>
        </w:rPr>
        <w:t>e envers une poignée d’entreprises. Nous ne pouvons tenir leur engagement pour acquis. Il n’est pas trop tard pour éviter des dommages irréparables à l’approvisionnement mondial d’antibiotiques et de vaccins »,</w:t>
      </w:r>
      <w:r>
        <w:rPr>
          <w:rFonts w:asciiTheme="majorHAnsi" w:hAnsiTheme="majorHAnsi" w:cstheme="majorHAnsi"/>
          <w:lang w:val="fr-FR"/>
        </w:rPr>
        <w:t xml:space="preserve"> explique Jayasree Iyer.</w:t>
      </w:r>
    </w:p>
    <w:p w14:paraId="24387A7D" w14:textId="77777777" w:rsidR="006745AC" w:rsidRPr="004A36AE" w:rsidRDefault="006745AC" w:rsidP="00655150">
      <w:pPr>
        <w:spacing w:after="0"/>
        <w:rPr>
          <w:rFonts w:asciiTheme="majorHAnsi" w:hAnsiTheme="majorHAnsi" w:cstheme="majorHAnsi"/>
          <w:i/>
          <w:iCs/>
          <w:lang w:val="fr-CI"/>
        </w:rPr>
      </w:pPr>
    </w:p>
    <w:p w14:paraId="7516436A" w14:textId="3C80DA83" w:rsidR="00F250FB" w:rsidRPr="003F6831" w:rsidRDefault="00F250FB" w:rsidP="00D46D8E">
      <w:pPr>
        <w:spacing w:after="0"/>
        <w:rPr>
          <w:rFonts w:asciiTheme="majorHAnsi" w:hAnsiTheme="majorHAnsi" w:cstheme="majorHAnsi"/>
          <w:b/>
          <w:bCs/>
        </w:rPr>
      </w:pPr>
      <w:r>
        <w:rPr>
          <w:rFonts w:asciiTheme="majorHAnsi" w:hAnsiTheme="majorHAnsi" w:cstheme="majorHAnsi"/>
          <w:b/>
          <w:bCs/>
          <w:lang w:val="fr-FR"/>
        </w:rPr>
        <w:t>Conclusions en bref</w:t>
      </w:r>
    </w:p>
    <w:p w14:paraId="19994D2E" w14:textId="77777777" w:rsidR="00E64BF6" w:rsidRPr="003F6831" w:rsidRDefault="00E64BF6" w:rsidP="00D46D8E">
      <w:pPr>
        <w:spacing w:after="0"/>
        <w:rPr>
          <w:rFonts w:asciiTheme="majorHAnsi" w:hAnsiTheme="majorHAnsi" w:cstheme="majorHAnsi"/>
        </w:rPr>
      </w:pPr>
    </w:p>
    <w:p w14:paraId="206E7AF8" w14:textId="2EAF93E8" w:rsidR="00541035" w:rsidRPr="004A36AE" w:rsidRDefault="004E7ABE" w:rsidP="00937914">
      <w:pPr>
        <w:pStyle w:val="ListParagraph"/>
        <w:numPr>
          <w:ilvl w:val="0"/>
          <w:numId w:val="3"/>
        </w:numPr>
        <w:spacing w:after="0"/>
        <w:rPr>
          <w:rFonts w:asciiTheme="majorHAnsi" w:hAnsiTheme="majorHAnsi" w:cstheme="majorHAnsi"/>
          <w:lang w:val="fr-CI"/>
        </w:rPr>
      </w:pPr>
      <w:r>
        <w:rPr>
          <w:rFonts w:asciiTheme="majorHAnsi" w:hAnsiTheme="majorHAnsi" w:cstheme="majorHAnsi"/>
          <w:lang w:val="fr-FR"/>
        </w:rPr>
        <w:t>Les antibiotiques ne sont pas</w:t>
      </w:r>
      <w:r w:rsidR="00E526A8">
        <w:rPr>
          <w:rFonts w:asciiTheme="majorHAnsi" w:hAnsiTheme="majorHAnsi" w:cstheme="majorHAnsi"/>
          <w:lang w:val="fr-FR"/>
        </w:rPr>
        <w:t xml:space="preserve"> rendus</w:t>
      </w:r>
      <w:r>
        <w:rPr>
          <w:rFonts w:asciiTheme="majorHAnsi" w:hAnsiTheme="majorHAnsi" w:cstheme="majorHAnsi"/>
          <w:lang w:val="fr-FR"/>
        </w:rPr>
        <w:t xml:space="preserve"> largement accessibles dans les pays à faible et à moyen revenu en raison d</w:t>
      </w:r>
      <w:r w:rsidR="002F6299">
        <w:rPr>
          <w:rFonts w:asciiTheme="majorHAnsi" w:hAnsiTheme="majorHAnsi" w:cstheme="majorHAnsi"/>
          <w:lang w:val="fr-FR"/>
        </w:rPr>
        <w:t>e la faible utilisation de</w:t>
      </w:r>
      <w:r>
        <w:rPr>
          <w:rFonts w:asciiTheme="majorHAnsi" w:hAnsiTheme="majorHAnsi" w:cstheme="majorHAnsi"/>
          <w:lang w:val="fr-FR"/>
        </w:rPr>
        <w:t xml:space="preserve"> dépôts d’enregistrement ou de stratégies d’approvisionnement. En effet, seuls trois des 13 antibiotiques en instance de brevet mentionnés dans cette analyse ont fait l’objet d’un dépôt en vue de leur enregistrement dans plus de 10 des 102 pays où il est urgent de bénéficier d’un meilleur accès à ces médicaments. Concernant les antibiotiques plus anciens, mais toujours utiles, les laboratoires fournissent seulement 14 des 30 antibiotiques « oubliés » aux pays à faible revenu.</w:t>
      </w:r>
    </w:p>
    <w:p w14:paraId="5E00441F" w14:textId="22F831E9" w:rsidR="00752959" w:rsidRPr="004A36AE" w:rsidRDefault="00752959" w:rsidP="00937914">
      <w:pPr>
        <w:pStyle w:val="ListParagraph"/>
        <w:numPr>
          <w:ilvl w:val="0"/>
          <w:numId w:val="3"/>
        </w:numPr>
        <w:spacing w:after="0"/>
        <w:rPr>
          <w:rFonts w:asciiTheme="majorHAnsi" w:hAnsiTheme="majorHAnsi" w:cstheme="majorHAnsi"/>
          <w:lang w:val="fr-CI"/>
        </w:rPr>
      </w:pPr>
      <w:r>
        <w:rPr>
          <w:rFonts w:asciiTheme="majorHAnsi" w:hAnsiTheme="majorHAnsi" w:cstheme="majorHAnsi"/>
          <w:lang w:val="fr-FR"/>
        </w:rPr>
        <w:t xml:space="preserve">Dix </w:t>
      </w:r>
      <w:r w:rsidR="001645E0">
        <w:rPr>
          <w:rFonts w:asciiTheme="majorHAnsi" w:hAnsiTheme="majorHAnsi" w:cstheme="majorHAnsi"/>
          <w:lang w:val="fr-FR"/>
        </w:rPr>
        <w:t>ent</w:t>
      </w:r>
      <w:r w:rsidR="00EE62CA">
        <w:rPr>
          <w:rFonts w:asciiTheme="majorHAnsi" w:hAnsiTheme="majorHAnsi" w:cstheme="majorHAnsi"/>
          <w:lang w:val="fr-FR"/>
        </w:rPr>
        <w:t>r</w:t>
      </w:r>
      <w:r w:rsidR="001645E0">
        <w:rPr>
          <w:rFonts w:asciiTheme="majorHAnsi" w:hAnsiTheme="majorHAnsi" w:cstheme="majorHAnsi"/>
          <w:lang w:val="fr-FR"/>
        </w:rPr>
        <w:t>eprises</w:t>
      </w:r>
      <w:r>
        <w:rPr>
          <w:rFonts w:asciiTheme="majorHAnsi" w:hAnsiTheme="majorHAnsi" w:cstheme="majorHAnsi"/>
          <w:lang w:val="fr-FR"/>
        </w:rPr>
        <w:t xml:space="preserve"> dissocient les primes des volumes de ventes ou s’abstiennent de déployer des commerciaux pour les antimicrobiens. Elles n’étaient que cinq en 2018. Une entreprise (</w:t>
      </w:r>
      <w:proofErr w:type="spellStart"/>
      <w:r>
        <w:rPr>
          <w:rFonts w:asciiTheme="majorHAnsi" w:hAnsiTheme="majorHAnsi" w:cstheme="majorHAnsi"/>
          <w:lang w:val="fr-FR"/>
        </w:rPr>
        <w:t>Teva</w:t>
      </w:r>
      <w:proofErr w:type="spellEnd"/>
      <w:r>
        <w:rPr>
          <w:rFonts w:asciiTheme="majorHAnsi" w:hAnsiTheme="majorHAnsi" w:cstheme="majorHAnsi"/>
          <w:lang w:val="fr-FR"/>
        </w:rPr>
        <w:t>) établit une nouvelle pratique exemplaire en n’employant aucune force de vente pour promouvoir ses médicaments antibactériens ou antifongiques. En dissociant les primes des volumes de ventes ou en n’employant aucun</w:t>
      </w:r>
      <w:r w:rsidR="00E93FD9">
        <w:rPr>
          <w:rFonts w:asciiTheme="majorHAnsi" w:hAnsiTheme="majorHAnsi" w:cstheme="majorHAnsi"/>
          <w:lang w:val="fr-FR"/>
        </w:rPr>
        <w:t xml:space="preserve"> agent</w:t>
      </w:r>
      <w:r>
        <w:rPr>
          <w:rFonts w:asciiTheme="majorHAnsi" w:hAnsiTheme="majorHAnsi" w:cstheme="majorHAnsi"/>
          <w:lang w:val="fr-FR"/>
        </w:rPr>
        <w:t xml:space="preserve"> commercial, les </w:t>
      </w:r>
      <w:r w:rsidR="00E93FD9">
        <w:rPr>
          <w:rFonts w:asciiTheme="majorHAnsi" w:hAnsiTheme="majorHAnsi" w:cstheme="majorHAnsi"/>
          <w:lang w:val="fr-FR"/>
        </w:rPr>
        <w:t xml:space="preserve">entreprises </w:t>
      </w:r>
      <w:r>
        <w:rPr>
          <w:rFonts w:asciiTheme="majorHAnsi" w:hAnsiTheme="majorHAnsi" w:cstheme="majorHAnsi"/>
          <w:lang w:val="fr-FR"/>
        </w:rPr>
        <w:t>réduisent la survente d’antibiotiques et la propagation de la résistance.</w:t>
      </w:r>
    </w:p>
    <w:p w14:paraId="4B4242FC" w14:textId="78712637" w:rsidR="00752959" w:rsidRPr="004A36AE" w:rsidRDefault="00752959" w:rsidP="00752959">
      <w:pPr>
        <w:pStyle w:val="ListParagraph"/>
        <w:numPr>
          <w:ilvl w:val="0"/>
          <w:numId w:val="3"/>
        </w:numPr>
        <w:spacing w:after="0"/>
        <w:rPr>
          <w:rFonts w:asciiTheme="majorHAnsi" w:hAnsiTheme="majorHAnsi" w:cstheme="majorHAnsi"/>
          <w:lang w:val="fr-CI"/>
        </w:rPr>
      </w:pPr>
      <w:r>
        <w:rPr>
          <w:rFonts w:asciiTheme="majorHAnsi" w:hAnsiTheme="majorHAnsi" w:cstheme="majorHAnsi"/>
          <w:lang w:val="fr-FR"/>
        </w:rPr>
        <w:t>Une nouvelle référence a également été établie pour ce qui est des entreprises partageant leurs connaissances sur la propagation de la résistance. Pfizer est en effet devenue la première entreprise à partager les données brutes issues d’un programme de surveillance dans un registre en ligne libre d’accès. Les hôpitaux et les gouvernements doivent savoir où la résistance se développe afin de pouvoir adapter les directives de traitement.</w:t>
      </w:r>
    </w:p>
    <w:p w14:paraId="4810A2B3" w14:textId="07D89675" w:rsidR="00752959" w:rsidRPr="004A36AE" w:rsidRDefault="006650D8" w:rsidP="00752959">
      <w:pPr>
        <w:pStyle w:val="ListParagraph"/>
        <w:numPr>
          <w:ilvl w:val="0"/>
          <w:numId w:val="3"/>
        </w:numPr>
        <w:spacing w:after="0"/>
        <w:rPr>
          <w:rFonts w:asciiTheme="majorHAnsi" w:hAnsiTheme="majorHAnsi" w:cstheme="majorHAnsi"/>
          <w:lang w:val="fr-CI"/>
        </w:rPr>
      </w:pPr>
      <w:r>
        <w:rPr>
          <w:rFonts w:asciiTheme="majorHAnsi" w:hAnsiTheme="majorHAnsi" w:cstheme="majorHAnsi"/>
          <w:lang w:val="fr-FR"/>
        </w:rPr>
        <w:t xml:space="preserve">Depuis 2018, quelques antibiotiques </w:t>
      </w:r>
      <w:r w:rsidR="00E93FD9">
        <w:rPr>
          <w:rFonts w:asciiTheme="majorHAnsi" w:hAnsiTheme="majorHAnsi" w:cstheme="majorHAnsi"/>
          <w:lang w:val="fr-FR"/>
        </w:rPr>
        <w:t xml:space="preserve">de plus </w:t>
      </w:r>
      <w:r>
        <w:rPr>
          <w:rFonts w:asciiTheme="majorHAnsi" w:hAnsiTheme="majorHAnsi" w:cstheme="majorHAnsi"/>
          <w:lang w:val="fr-FR"/>
        </w:rPr>
        <w:t xml:space="preserve">au stade clinique sont </w:t>
      </w:r>
      <w:r w:rsidR="00E93FD9">
        <w:rPr>
          <w:rFonts w:asciiTheme="majorHAnsi" w:hAnsiTheme="majorHAnsi" w:cstheme="majorHAnsi"/>
          <w:lang w:val="fr-FR"/>
        </w:rPr>
        <w:t xml:space="preserve">soutenus </w:t>
      </w:r>
      <w:r>
        <w:rPr>
          <w:rFonts w:asciiTheme="majorHAnsi" w:hAnsiTheme="majorHAnsi" w:cstheme="majorHAnsi"/>
          <w:lang w:val="fr-FR"/>
        </w:rPr>
        <w:t xml:space="preserve">par des programmes visant à garantir un meilleur accès et une bonne </w:t>
      </w:r>
      <w:r w:rsidR="00E93FD9">
        <w:rPr>
          <w:rFonts w:asciiTheme="majorHAnsi" w:hAnsiTheme="majorHAnsi" w:cstheme="majorHAnsi"/>
          <w:lang w:val="fr-FR"/>
        </w:rPr>
        <w:t xml:space="preserve">gouvernance </w:t>
      </w:r>
      <w:r>
        <w:rPr>
          <w:rFonts w:asciiTheme="majorHAnsi" w:hAnsiTheme="majorHAnsi" w:cstheme="majorHAnsi"/>
          <w:lang w:val="fr-FR"/>
        </w:rPr>
        <w:t xml:space="preserve">peu de temps après leur lancement : huit candidats sur </w:t>
      </w:r>
      <w:r w:rsidR="00886B54">
        <w:rPr>
          <w:rFonts w:asciiTheme="majorHAnsi" w:hAnsiTheme="majorHAnsi" w:cstheme="majorHAnsi"/>
          <w:lang w:val="fr-FR"/>
        </w:rPr>
        <w:t>32</w:t>
      </w:r>
      <w:r>
        <w:rPr>
          <w:rFonts w:asciiTheme="majorHAnsi" w:hAnsiTheme="majorHAnsi" w:cstheme="majorHAnsi"/>
          <w:lang w:val="fr-FR"/>
        </w:rPr>
        <w:t xml:space="preserve"> contre deux sur 28 en 2018 (hausse de 25 % contre 7 %). Cependant, l’élaboration de ces programmes reste </w:t>
      </w:r>
      <w:r w:rsidR="007049F9">
        <w:rPr>
          <w:rFonts w:asciiTheme="majorHAnsi" w:hAnsiTheme="majorHAnsi" w:cstheme="majorHAnsi"/>
          <w:lang w:val="fr-FR"/>
        </w:rPr>
        <w:t>irrégulière</w:t>
      </w:r>
      <w:r>
        <w:rPr>
          <w:rFonts w:asciiTheme="majorHAnsi" w:hAnsiTheme="majorHAnsi" w:cstheme="majorHAnsi"/>
          <w:lang w:val="fr-FR"/>
        </w:rPr>
        <w:t xml:space="preserve">. La planification, pendant que les projets de R&amp;D sont au stade de développement clinique, accélère l’accès et </w:t>
      </w:r>
      <w:r w:rsidR="00E93FD9">
        <w:rPr>
          <w:rFonts w:asciiTheme="majorHAnsi" w:hAnsiTheme="majorHAnsi" w:cstheme="majorHAnsi"/>
          <w:lang w:val="fr-FR"/>
        </w:rPr>
        <w:t xml:space="preserve">la </w:t>
      </w:r>
      <w:r w:rsidR="007049F9">
        <w:rPr>
          <w:rFonts w:asciiTheme="majorHAnsi" w:hAnsiTheme="majorHAnsi" w:cstheme="majorHAnsi"/>
          <w:lang w:val="fr-FR"/>
        </w:rPr>
        <w:t>gestion des produits</w:t>
      </w:r>
      <w:r w:rsidR="00E93FD9">
        <w:rPr>
          <w:rFonts w:asciiTheme="majorHAnsi" w:hAnsiTheme="majorHAnsi" w:cstheme="majorHAnsi"/>
          <w:lang w:val="fr-FR"/>
        </w:rPr>
        <w:t xml:space="preserve"> </w:t>
      </w:r>
      <w:r>
        <w:rPr>
          <w:rFonts w:asciiTheme="majorHAnsi" w:hAnsiTheme="majorHAnsi" w:cstheme="majorHAnsi"/>
          <w:lang w:val="fr-FR"/>
        </w:rPr>
        <w:t>pour assurer la réussite des produits candidats après le lancement.</w:t>
      </w:r>
    </w:p>
    <w:p w14:paraId="413E8F1C" w14:textId="62B85444" w:rsidR="00752959" w:rsidRPr="004A36AE" w:rsidRDefault="00622A00" w:rsidP="00752959">
      <w:pPr>
        <w:pStyle w:val="ListParagraph"/>
        <w:numPr>
          <w:ilvl w:val="0"/>
          <w:numId w:val="3"/>
        </w:numPr>
        <w:spacing w:after="0"/>
        <w:rPr>
          <w:rFonts w:asciiTheme="majorHAnsi" w:hAnsiTheme="majorHAnsi" w:cstheme="majorHAnsi"/>
          <w:lang w:val="fr-CI"/>
        </w:rPr>
      </w:pPr>
      <w:r>
        <w:rPr>
          <w:rFonts w:asciiTheme="majorHAnsi" w:hAnsiTheme="majorHAnsi" w:cstheme="majorHAnsi"/>
          <w:lang w:val="fr-FR"/>
        </w:rPr>
        <w:t xml:space="preserve">Les stratégies de gestion des risques environnementaux adoptées par les entreprises pour minimiser l’impact de leurs processus de fabrication sur la résistance sont plus complètes qu’en 2018. La plupart des </w:t>
      </w:r>
      <w:r w:rsidR="007049F9">
        <w:rPr>
          <w:rFonts w:asciiTheme="majorHAnsi" w:hAnsiTheme="majorHAnsi" w:cstheme="majorHAnsi"/>
          <w:lang w:val="fr-FR"/>
        </w:rPr>
        <w:t xml:space="preserve">entreprises </w:t>
      </w:r>
      <w:r>
        <w:rPr>
          <w:rFonts w:asciiTheme="majorHAnsi" w:hAnsiTheme="majorHAnsi" w:cstheme="majorHAnsi"/>
          <w:lang w:val="fr-FR"/>
        </w:rPr>
        <w:t>exigent désormais des fournisseurs tiers qu’ils respectent des normes comparables. Le rejet de déchets industriels dans l’environnement peut contribuer à la résistance aux antimicrobiens. En effet, les bactéries présentes dans l’eau et le sol sont exposées à des composants antibactériens, ce qui peut déclencher l’apparition ou la sélection de gènes de résistance.</w:t>
      </w:r>
    </w:p>
    <w:p w14:paraId="5A70D867" w14:textId="4A512967" w:rsidR="00BC4BA3" w:rsidRPr="004A36AE" w:rsidRDefault="00BC4BA3" w:rsidP="00BC4BA3">
      <w:pPr>
        <w:spacing w:after="0"/>
        <w:rPr>
          <w:rFonts w:asciiTheme="majorHAnsi" w:hAnsiTheme="majorHAnsi" w:cstheme="majorHAnsi"/>
          <w:lang w:val="fr-CI"/>
        </w:rPr>
      </w:pPr>
    </w:p>
    <w:p w14:paraId="6E2D040E" w14:textId="1339B892" w:rsidR="00BC4BA3" w:rsidRPr="004A36AE" w:rsidRDefault="00BC4BA3" w:rsidP="00BC4BA3">
      <w:pPr>
        <w:spacing w:after="0"/>
        <w:jc w:val="center"/>
        <w:rPr>
          <w:rFonts w:asciiTheme="majorHAnsi" w:hAnsiTheme="majorHAnsi" w:cstheme="majorHAnsi"/>
          <w:lang w:val="fr-CI"/>
        </w:rPr>
      </w:pPr>
      <w:r>
        <w:rPr>
          <w:rFonts w:asciiTheme="majorHAnsi" w:hAnsiTheme="majorHAnsi" w:cstheme="majorHAnsi"/>
          <w:lang w:val="fr-FR"/>
        </w:rPr>
        <w:t>- FIN DU COMMUNIQUÉ DE PRESSE -</w:t>
      </w:r>
    </w:p>
    <w:p w14:paraId="50018E1D" w14:textId="77777777" w:rsidR="00BC4BA3" w:rsidRPr="004A36AE" w:rsidRDefault="00BC4BA3" w:rsidP="00BC4BA3">
      <w:pPr>
        <w:spacing w:after="0"/>
        <w:rPr>
          <w:rFonts w:asciiTheme="majorHAnsi" w:hAnsiTheme="majorHAnsi" w:cstheme="majorHAnsi"/>
          <w:lang w:val="fr-CI"/>
        </w:rPr>
      </w:pPr>
    </w:p>
    <w:p w14:paraId="09691410" w14:textId="77777777" w:rsidR="00BC4BA3" w:rsidRPr="004A36AE" w:rsidRDefault="00BC4BA3" w:rsidP="00BC4BA3">
      <w:pPr>
        <w:spacing w:after="0"/>
        <w:rPr>
          <w:rFonts w:asciiTheme="majorHAnsi" w:hAnsiTheme="majorHAnsi" w:cstheme="majorHAnsi"/>
          <w:b/>
          <w:bCs/>
          <w:lang w:val="fr-CI"/>
        </w:rPr>
      </w:pPr>
      <w:r>
        <w:rPr>
          <w:rFonts w:asciiTheme="majorHAnsi" w:hAnsiTheme="majorHAnsi" w:cstheme="majorHAnsi"/>
          <w:b/>
          <w:bCs/>
          <w:lang w:val="fr-FR"/>
        </w:rPr>
        <w:t>Remarques destinées aux éditeurs</w:t>
      </w:r>
    </w:p>
    <w:p w14:paraId="1F334F94" w14:textId="77777777" w:rsidR="00BC4BA3" w:rsidRPr="004A36AE" w:rsidRDefault="00BC4BA3" w:rsidP="00BC4BA3">
      <w:pPr>
        <w:spacing w:after="0"/>
        <w:rPr>
          <w:rFonts w:asciiTheme="majorHAnsi" w:hAnsiTheme="majorHAnsi" w:cstheme="majorHAnsi"/>
          <w:lang w:val="fr-CI"/>
        </w:rPr>
      </w:pPr>
    </w:p>
    <w:p w14:paraId="26AE408B" w14:textId="0E80A93A" w:rsidR="00BC4BA3" w:rsidRPr="004A36AE" w:rsidRDefault="00BC4BA3" w:rsidP="00BC4BA3">
      <w:pPr>
        <w:spacing w:after="0"/>
        <w:rPr>
          <w:rFonts w:asciiTheme="majorHAnsi" w:hAnsiTheme="majorHAnsi" w:cstheme="majorHAnsi"/>
          <w:lang w:val="fr-CI"/>
        </w:rPr>
      </w:pPr>
      <w:r>
        <w:rPr>
          <w:rFonts w:asciiTheme="majorHAnsi" w:hAnsiTheme="majorHAnsi" w:cstheme="majorHAnsi"/>
          <w:b/>
          <w:bCs/>
          <w:lang w:val="fr-FR"/>
        </w:rPr>
        <w:t>Matériels média :</w:t>
      </w:r>
      <w:r>
        <w:rPr>
          <w:rFonts w:asciiTheme="majorHAnsi" w:hAnsiTheme="majorHAnsi" w:cstheme="majorHAnsi"/>
          <w:lang w:val="fr-FR"/>
        </w:rPr>
        <w:t xml:space="preserve"> les points de données, graphiques et </w:t>
      </w:r>
      <w:proofErr w:type="gramStart"/>
      <w:r>
        <w:rPr>
          <w:rFonts w:asciiTheme="majorHAnsi" w:hAnsiTheme="majorHAnsi" w:cstheme="majorHAnsi"/>
          <w:lang w:val="fr-FR"/>
        </w:rPr>
        <w:t>figures contenus</w:t>
      </w:r>
      <w:proofErr w:type="gramEnd"/>
      <w:r>
        <w:rPr>
          <w:rFonts w:asciiTheme="majorHAnsi" w:hAnsiTheme="majorHAnsi" w:cstheme="majorHAnsi"/>
          <w:lang w:val="fr-FR"/>
        </w:rPr>
        <w:t xml:space="preserve"> dans le rapport sont disponibles sur demande.</w:t>
      </w:r>
    </w:p>
    <w:p w14:paraId="38EECC89" w14:textId="7FA05D0A" w:rsidR="00752959" w:rsidRPr="004A36AE" w:rsidRDefault="00752959" w:rsidP="00D46D8E">
      <w:pPr>
        <w:spacing w:after="0"/>
        <w:rPr>
          <w:rFonts w:asciiTheme="majorHAnsi" w:hAnsiTheme="majorHAnsi" w:cstheme="majorHAnsi"/>
          <w:lang w:val="fr-CI"/>
        </w:rPr>
      </w:pPr>
    </w:p>
    <w:p w14:paraId="268EE982" w14:textId="29118189" w:rsidR="00F156E6" w:rsidRPr="004A36AE" w:rsidRDefault="00793176" w:rsidP="00F156E6">
      <w:pPr>
        <w:spacing w:after="0"/>
        <w:rPr>
          <w:rFonts w:asciiTheme="majorHAnsi" w:hAnsiTheme="majorHAnsi" w:cstheme="majorHAnsi"/>
          <w:b/>
          <w:bCs/>
          <w:lang w:val="fr-CI"/>
        </w:rPr>
      </w:pPr>
      <w:r>
        <w:rPr>
          <w:rFonts w:asciiTheme="majorHAnsi" w:hAnsiTheme="majorHAnsi" w:cstheme="majorHAnsi"/>
          <w:b/>
          <w:bCs/>
          <w:lang w:val="fr-FR"/>
        </w:rPr>
        <w:t>À propos du rapport comparatif « </w:t>
      </w:r>
      <w:proofErr w:type="spellStart"/>
      <w:r>
        <w:rPr>
          <w:rFonts w:asciiTheme="majorHAnsi" w:hAnsiTheme="majorHAnsi" w:cstheme="majorHAnsi"/>
          <w:b/>
          <w:bCs/>
          <w:lang w:val="fr-FR"/>
        </w:rPr>
        <w:t>Antimicrobial</w:t>
      </w:r>
      <w:proofErr w:type="spellEnd"/>
      <w:r>
        <w:rPr>
          <w:rFonts w:asciiTheme="majorHAnsi" w:hAnsiTheme="majorHAnsi" w:cstheme="majorHAnsi"/>
          <w:b/>
          <w:bCs/>
          <w:lang w:val="fr-FR"/>
        </w:rPr>
        <w:t xml:space="preserve"> Resistance Benchmark »</w:t>
      </w:r>
    </w:p>
    <w:p w14:paraId="169951DA" w14:textId="001DF666" w:rsidR="00E64BF6" w:rsidRPr="004A36AE" w:rsidRDefault="00F156E6" w:rsidP="00F156E6">
      <w:pPr>
        <w:spacing w:after="0"/>
        <w:rPr>
          <w:rFonts w:asciiTheme="majorHAnsi" w:hAnsiTheme="majorHAnsi" w:cstheme="majorHAnsi"/>
          <w:lang w:val="fr-CI"/>
        </w:rPr>
      </w:pPr>
      <w:r>
        <w:rPr>
          <w:rFonts w:asciiTheme="majorHAnsi" w:hAnsiTheme="majorHAnsi" w:cstheme="majorHAnsi"/>
          <w:lang w:val="fr-FR"/>
        </w:rPr>
        <w:lastRenderedPageBreak/>
        <w:t xml:space="preserve">Access to </w:t>
      </w:r>
      <w:proofErr w:type="spellStart"/>
      <w:r>
        <w:rPr>
          <w:rFonts w:asciiTheme="majorHAnsi" w:hAnsiTheme="majorHAnsi" w:cstheme="majorHAnsi"/>
          <w:lang w:val="fr-FR"/>
        </w:rPr>
        <w:t>Medicine</w:t>
      </w:r>
      <w:proofErr w:type="spellEnd"/>
      <w:r>
        <w:rPr>
          <w:rFonts w:asciiTheme="majorHAnsi" w:hAnsiTheme="majorHAnsi" w:cstheme="majorHAnsi"/>
          <w:lang w:val="fr-FR"/>
        </w:rPr>
        <w:t xml:space="preserve"> </w:t>
      </w:r>
      <w:proofErr w:type="spellStart"/>
      <w:r>
        <w:rPr>
          <w:rFonts w:asciiTheme="majorHAnsi" w:hAnsiTheme="majorHAnsi" w:cstheme="majorHAnsi"/>
          <w:lang w:val="fr-FR"/>
        </w:rPr>
        <w:t>Foundation</w:t>
      </w:r>
      <w:proofErr w:type="spellEnd"/>
      <w:r>
        <w:rPr>
          <w:rFonts w:asciiTheme="majorHAnsi" w:hAnsiTheme="majorHAnsi" w:cstheme="majorHAnsi"/>
          <w:lang w:val="fr-FR"/>
        </w:rPr>
        <w:t>, qui publi</w:t>
      </w:r>
      <w:r w:rsidR="007049F9">
        <w:rPr>
          <w:rFonts w:asciiTheme="majorHAnsi" w:hAnsiTheme="majorHAnsi" w:cstheme="majorHAnsi"/>
          <w:lang w:val="fr-FR"/>
        </w:rPr>
        <w:t>e</w:t>
      </w:r>
      <w:r>
        <w:rPr>
          <w:rFonts w:asciiTheme="majorHAnsi" w:hAnsiTheme="majorHAnsi" w:cstheme="majorHAnsi"/>
          <w:lang w:val="fr-FR"/>
        </w:rPr>
        <w:t xml:space="preserve"> ce rapport, est un organisme indépendant à but non lucratif basé aux Pays-Bas. Cette organisation cherche à améliorer l’accès aux médicaments dans les pays à revenu faible ou moyen en encourageant et orientant l’industrie pharmaceutique à jouer un plus grand rôle dans ce domaine. Le rapport de 2020 porte sur 19 indicateurs dans trois domaines d’évaluation : la recherche et le développement ; la fabrication responsable ; et l’accès et </w:t>
      </w:r>
      <w:r w:rsidR="002A0DDC">
        <w:rPr>
          <w:rFonts w:asciiTheme="majorHAnsi" w:hAnsiTheme="majorHAnsi" w:cstheme="majorHAnsi"/>
          <w:lang w:val="fr-FR"/>
        </w:rPr>
        <w:t xml:space="preserve">la gestion </w:t>
      </w:r>
      <w:r>
        <w:rPr>
          <w:rFonts w:asciiTheme="majorHAnsi" w:hAnsiTheme="majorHAnsi" w:cstheme="majorHAnsi"/>
          <w:lang w:val="fr-FR"/>
        </w:rPr>
        <w:t>appropriés</w:t>
      </w:r>
      <w:r w:rsidR="002A0DDC">
        <w:rPr>
          <w:rFonts w:asciiTheme="majorHAnsi" w:hAnsiTheme="majorHAnsi" w:cstheme="majorHAnsi"/>
          <w:lang w:val="fr-FR"/>
        </w:rPr>
        <w:t xml:space="preserve"> des produits</w:t>
      </w:r>
      <w:r>
        <w:rPr>
          <w:rFonts w:asciiTheme="majorHAnsi" w:hAnsiTheme="majorHAnsi" w:cstheme="majorHAnsi"/>
          <w:lang w:val="fr-FR"/>
        </w:rPr>
        <w:t xml:space="preserve">. La méthodologie du rapport est définie </w:t>
      </w:r>
      <w:r w:rsidR="002A0DDC">
        <w:rPr>
          <w:rFonts w:asciiTheme="majorHAnsi" w:hAnsiTheme="majorHAnsi" w:cstheme="majorHAnsi"/>
          <w:lang w:val="fr-FR"/>
        </w:rPr>
        <w:t>à</w:t>
      </w:r>
      <w:r>
        <w:rPr>
          <w:rFonts w:asciiTheme="majorHAnsi" w:hAnsiTheme="majorHAnsi" w:cstheme="majorHAnsi"/>
          <w:lang w:val="fr-FR"/>
        </w:rPr>
        <w:t xml:space="preserve"> travers un examen ciblé des attentes des parties prenantes qui souhaitent que les entreprises pharmaceutiques limitent la résistance antimicrobienne, avec la contribution d’organisations internationales, de gouvernements, d’ONG, de centres de recherche et d’autres initiatives de lutte contre la résistance aux antimicrobiens. Le rapport est financé par UK AID et le ministère néerlandais de la Santé, du Bien-être et des Sports. </w:t>
      </w:r>
    </w:p>
    <w:p w14:paraId="19350E4F" w14:textId="16FEA573" w:rsidR="00F156E6" w:rsidRPr="004A36AE" w:rsidRDefault="00F156E6" w:rsidP="006D5121">
      <w:pPr>
        <w:spacing w:after="0"/>
        <w:rPr>
          <w:rFonts w:asciiTheme="majorHAnsi" w:hAnsiTheme="majorHAnsi" w:cstheme="majorHAnsi"/>
          <w:lang w:val="fr-CI"/>
        </w:rPr>
      </w:pPr>
    </w:p>
    <w:p w14:paraId="6138A095" w14:textId="77777777" w:rsidR="003F6831" w:rsidRPr="004A36AE" w:rsidRDefault="003F6831" w:rsidP="003F6831">
      <w:pPr>
        <w:spacing w:after="0"/>
        <w:rPr>
          <w:rFonts w:asciiTheme="majorHAnsi" w:hAnsiTheme="majorHAnsi" w:cstheme="majorHAnsi"/>
          <w:b/>
          <w:bCs/>
          <w:lang w:val="fr-CI"/>
        </w:rPr>
      </w:pPr>
      <w:r>
        <w:rPr>
          <w:rFonts w:asciiTheme="majorHAnsi" w:hAnsiTheme="majorHAnsi" w:cstheme="majorHAnsi"/>
          <w:b/>
          <w:bCs/>
          <w:lang w:val="fr-FR"/>
        </w:rPr>
        <w:t>Pour en savoir plus, veuillez contacter :</w:t>
      </w:r>
    </w:p>
    <w:p w14:paraId="54756F4F" w14:textId="2BA6C0E1" w:rsidR="003F6831" w:rsidRPr="004A36AE" w:rsidRDefault="002643DA" w:rsidP="003F6831">
      <w:pPr>
        <w:shd w:val="clear" w:color="auto" w:fill="FFFFFF"/>
        <w:spacing w:line="235" w:lineRule="atLeast"/>
        <w:rPr>
          <w:rFonts w:asciiTheme="majorHAnsi" w:hAnsiTheme="majorHAnsi" w:cstheme="majorHAnsi"/>
          <w:color w:val="222222"/>
          <w:lang w:val="fr-CI"/>
        </w:rPr>
      </w:pPr>
      <w:r>
        <w:rPr>
          <w:rFonts w:asciiTheme="majorHAnsi" w:hAnsiTheme="majorHAnsi" w:cstheme="majorHAnsi"/>
          <w:color w:val="1A1A1A"/>
          <w:lang w:val="fr-FR"/>
        </w:rPr>
        <w:t>Anna Massey</w:t>
      </w:r>
    </w:p>
    <w:p w14:paraId="383C1B37" w14:textId="49F8D209" w:rsidR="003F6831" w:rsidRPr="004A36AE" w:rsidRDefault="003F6831" w:rsidP="003F6831">
      <w:pPr>
        <w:shd w:val="clear" w:color="auto" w:fill="FFFFFF"/>
        <w:spacing w:line="235" w:lineRule="atLeast"/>
        <w:rPr>
          <w:rFonts w:asciiTheme="majorHAnsi" w:hAnsiTheme="majorHAnsi" w:cstheme="majorHAnsi"/>
          <w:color w:val="222222"/>
          <w:lang w:val="fr-CI"/>
        </w:rPr>
      </w:pPr>
      <w:r>
        <w:rPr>
          <w:rFonts w:asciiTheme="majorHAnsi" w:hAnsiTheme="majorHAnsi" w:cstheme="majorHAnsi"/>
          <w:color w:val="1A1A1A"/>
          <w:lang w:val="fr-FR"/>
        </w:rPr>
        <w:t xml:space="preserve">Tél. : </w:t>
      </w:r>
      <w:r w:rsidR="00911299">
        <w:rPr>
          <w:rFonts w:asciiTheme="majorHAnsi" w:hAnsiTheme="majorHAnsi" w:cstheme="majorHAnsi"/>
          <w:color w:val="1A1A1A"/>
          <w:lang w:val="fr-FR"/>
        </w:rPr>
        <w:t>+31 20 215 3535</w:t>
      </w:r>
      <w:bookmarkStart w:id="0" w:name="_GoBack"/>
      <w:bookmarkEnd w:id="0"/>
    </w:p>
    <w:p w14:paraId="74ECEDEF" w14:textId="15672D49" w:rsidR="003F6831" w:rsidRPr="004A36AE" w:rsidRDefault="003F6831" w:rsidP="003F6831">
      <w:pPr>
        <w:shd w:val="clear" w:color="auto" w:fill="FFFFFF"/>
        <w:spacing w:line="235" w:lineRule="atLeast"/>
        <w:rPr>
          <w:rFonts w:asciiTheme="majorHAnsi" w:hAnsiTheme="majorHAnsi" w:cstheme="majorHAnsi"/>
          <w:color w:val="222222"/>
          <w:lang w:val="fr-CI"/>
        </w:rPr>
      </w:pPr>
      <w:proofErr w:type="gramStart"/>
      <w:r>
        <w:rPr>
          <w:rFonts w:asciiTheme="majorHAnsi" w:hAnsiTheme="majorHAnsi" w:cstheme="majorHAnsi"/>
          <w:color w:val="1A1A1A"/>
          <w:lang w:val="fr-FR"/>
        </w:rPr>
        <w:t>E-mail</w:t>
      </w:r>
      <w:proofErr w:type="gramEnd"/>
      <w:r>
        <w:rPr>
          <w:rFonts w:asciiTheme="majorHAnsi" w:hAnsiTheme="majorHAnsi" w:cstheme="majorHAnsi"/>
          <w:color w:val="1A1A1A"/>
          <w:lang w:val="fr-FR"/>
        </w:rPr>
        <w:t> : </w:t>
      </w:r>
      <w:hyperlink r:id="rId10" w:history="1">
        <w:r w:rsidR="00953523" w:rsidRPr="00F672D7">
          <w:rPr>
            <w:rStyle w:val="Hyperlink"/>
            <w:rFonts w:asciiTheme="majorHAnsi" w:hAnsiTheme="majorHAnsi" w:cstheme="majorHAnsi"/>
            <w:lang w:val="fr-FR"/>
          </w:rPr>
          <w:t>amassey@accesstomedicinefoundation.org</w:t>
        </w:r>
      </w:hyperlink>
    </w:p>
    <w:p w14:paraId="2952A823" w14:textId="1690C3E5" w:rsidR="0079058F" w:rsidRPr="00911299" w:rsidRDefault="003F6831" w:rsidP="008F72DF">
      <w:pPr>
        <w:shd w:val="clear" w:color="auto" w:fill="FFFFFF"/>
        <w:spacing w:line="235" w:lineRule="atLeast"/>
        <w:rPr>
          <w:rFonts w:asciiTheme="majorHAnsi" w:hAnsiTheme="majorHAnsi" w:cstheme="majorHAnsi"/>
          <w:lang w:val="nl-NL"/>
        </w:rPr>
      </w:pPr>
      <w:r>
        <w:rPr>
          <w:rFonts w:asciiTheme="majorHAnsi" w:hAnsiTheme="majorHAnsi" w:cstheme="majorHAnsi"/>
          <w:color w:val="1A1A1A"/>
          <w:lang w:val="fr-FR"/>
        </w:rPr>
        <w:t>Site Web : </w:t>
      </w:r>
      <w:hyperlink r:id="rId11" w:tgtFrame="_blank" w:history="1">
        <w:r>
          <w:rPr>
            <w:rStyle w:val="Hyperlink"/>
            <w:rFonts w:asciiTheme="majorHAnsi" w:hAnsiTheme="majorHAnsi" w:cstheme="majorHAnsi"/>
            <w:color w:val="0563C1"/>
            <w:lang w:val="fr-FR"/>
          </w:rPr>
          <w:t>www.accesstomedicinefoundation.org</w:t>
        </w:r>
      </w:hyperlink>
    </w:p>
    <w:sectPr w:rsidR="0079058F" w:rsidRPr="00911299" w:rsidSect="006D5121">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987D" w14:textId="77777777" w:rsidR="009B64B5" w:rsidRDefault="009B64B5" w:rsidP="006223D1">
      <w:pPr>
        <w:spacing w:after="0" w:line="240" w:lineRule="auto"/>
      </w:pPr>
      <w:r>
        <w:separator/>
      </w:r>
    </w:p>
  </w:endnote>
  <w:endnote w:type="continuationSeparator" w:id="0">
    <w:p w14:paraId="54C93A08" w14:textId="77777777" w:rsidR="009B64B5" w:rsidRDefault="009B64B5" w:rsidP="006223D1">
      <w:pPr>
        <w:spacing w:after="0" w:line="240" w:lineRule="auto"/>
      </w:pPr>
      <w:r>
        <w:continuationSeparator/>
      </w:r>
    </w:p>
  </w:endnote>
  <w:endnote w:type="continuationNotice" w:id="1">
    <w:p w14:paraId="6F5D5A37" w14:textId="77777777" w:rsidR="009B64B5" w:rsidRDefault="009B6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41882"/>
      <w:docPartObj>
        <w:docPartGallery w:val="Page Numbers (Bottom of Page)"/>
        <w:docPartUnique/>
      </w:docPartObj>
    </w:sdtPr>
    <w:sdtEndPr/>
    <w:sdtContent>
      <w:sdt>
        <w:sdtPr>
          <w:id w:val="-1769616900"/>
          <w:docPartObj>
            <w:docPartGallery w:val="Page Numbers (Top of Page)"/>
            <w:docPartUnique/>
          </w:docPartObj>
        </w:sdtPr>
        <w:sdtEndPr/>
        <w:sdtContent>
          <w:p w14:paraId="0DD9FDF9" w14:textId="77777777" w:rsidR="00A67A0F" w:rsidRDefault="00A67A0F" w:rsidP="00A67A0F">
            <w:pPr>
              <w:pStyle w:val="Footer"/>
              <w:jc w:val="right"/>
            </w:pPr>
            <w:r>
              <w:rPr>
                <w:lang w:val="fr-FR"/>
              </w:rPr>
              <w:t>Page </w:t>
            </w:r>
            <w:r>
              <w:rPr>
                <w:sz w:val="24"/>
                <w:szCs w:val="24"/>
                <w:lang w:val="fr-FR"/>
              </w:rPr>
              <w:fldChar w:fldCharType="begin"/>
            </w:r>
            <w:r>
              <w:rPr>
                <w:lang w:val="fr-FR"/>
              </w:rPr>
              <w:instrText xml:space="preserve"> PAGE </w:instrText>
            </w:r>
            <w:r>
              <w:rPr>
                <w:sz w:val="24"/>
                <w:szCs w:val="24"/>
                <w:lang w:val="fr-FR"/>
              </w:rPr>
              <w:fldChar w:fldCharType="separate"/>
            </w:r>
            <w:r>
              <w:rPr>
                <w:b/>
                <w:bCs/>
                <w:sz w:val="24"/>
                <w:szCs w:val="24"/>
                <w:lang w:val="fr-FR"/>
              </w:rPr>
              <w:t>1</w:t>
            </w:r>
            <w:r>
              <w:rPr>
                <w:sz w:val="24"/>
                <w:szCs w:val="24"/>
                <w:lang w:val="fr-FR"/>
              </w:rPr>
              <w:fldChar w:fldCharType="end"/>
            </w:r>
            <w:r>
              <w:rPr>
                <w:lang w:val="fr-FR"/>
              </w:rPr>
              <w:t xml:space="preserve"> sur </w:t>
            </w:r>
            <w:r>
              <w:rPr>
                <w:sz w:val="24"/>
                <w:szCs w:val="24"/>
                <w:lang w:val="fr-FR"/>
              </w:rPr>
              <w:fldChar w:fldCharType="begin"/>
            </w:r>
            <w:r>
              <w:rPr>
                <w:lang w:val="fr-FR"/>
              </w:rPr>
              <w:instrText xml:space="preserve"> NUMPAGES  </w:instrText>
            </w:r>
            <w:r>
              <w:rPr>
                <w:sz w:val="24"/>
                <w:szCs w:val="24"/>
                <w:lang w:val="fr-FR"/>
              </w:rPr>
              <w:fldChar w:fldCharType="separate"/>
            </w:r>
            <w:r>
              <w:rPr>
                <w:b/>
                <w:bCs/>
                <w:sz w:val="24"/>
                <w:szCs w:val="24"/>
                <w:lang w:val="fr-FR"/>
              </w:rPr>
              <w:t>3</w:t>
            </w:r>
            <w:r>
              <w:rPr>
                <w:sz w:val="24"/>
                <w:szCs w:val="24"/>
                <w:lang w:val="fr-FR"/>
              </w:rPr>
              <w:fldChar w:fldCharType="end"/>
            </w:r>
          </w:p>
        </w:sdtContent>
      </w:sdt>
    </w:sdtContent>
  </w:sdt>
  <w:p w14:paraId="572FAB5F" w14:textId="77777777" w:rsidR="00A67A0F" w:rsidRPr="00A67A0F" w:rsidRDefault="00A67A0F" w:rsidP="00A67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EE11" w14:textId="77777777" w:rsidR="009B64B5" w:rsidRDefault="009B64B5" w:rsidP="006223D1">
      <w:pPr>
        <w:spacing w:after="0" w:line="240" w:lineRule="auto"/>
      </w:pPr>
      <w:r>
        <w:separator/>
      </w:r>
    </w:p>
  </w:footnote>
  <w:footnote w:type="continuationSeparator" w:id="0">
    <w:p w14:paraId="5572A1AC" w14:textId="77777777" w:rsidR="009B64B5" w:rsidRDefault="009B64B5" w:rsidP="006223D1">
      <w:pPr>
        <w:spacing w:after="0" w:line="240" w:lineRule="auto"/>
      </w:pPr>
      <w:r>
        <w:continuationSeparator/>
      </w:r>
    </w:p>
  </w:footnote>
  <w:footnote w:type="continuationNotice" w:id="1">
    <w:p w14:paraId="0CA494F9" w14:textId="77777777" w:rsidR="009B64B5" w:rsidRDefault="009B64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6895" w14:textId="77777777" w:rsidR="00AA38A4" w:rsidRPr="004A36AE" w:rsidRDefault="00AA38A4" w:rsidP="00AA38A4">
    <w:pPr>
      <w:pStyle w:val="Header"/>
      <w:jc w:val="center"/>
      <w:rPr>
        <w:b/>
        <w:lang w:val="nl-NL"/>
      </w:rPr>
    </w:pPr>
  </w:p>
  <w:p w14:paraId="012A96CD" w14:textId="64A673DA" w:rsidR="00AA38A4" w:rsidRPr="00134AD1" w:rsidRDefault="00AA38A4" w:rsidP="00AA38A4">
    <w:pPr>
      <w:pStyle w:val="Header"/>
      <w:jc w:val="center"/>
      <w:rPr>
        <w:b/>
        <w:color w:val="FF0000"/>
      </w:rPr>
    </w:pPr>
    <w:r>
      <w:rPr>
        <w:b/>
        <w:bCs/>
        <w:lang w:val="fr-FR"/>
      </w:rPr>
      <w:t xml:space="preserve">COMMUNIQUÉ DE PRESSE  </w:t>
    </w:r>
  </w:p>
  <w:p w14:paraId="3BB31ADE" w14:textId="77777777" w:rsidR="007B208E" w:rsidRPr="007B208E" w:rsidRDefault="007B208E" w:rsidP="007B20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2AB"/>
    <w:multiLevelType w:val="hybridMultilevel"/>
    <w:tmpl w:val="091E09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4D50E0"/>
    <w:multiLevelType w:val="hybridMultilevel"/>
    <w:tmpl w:val="1E2CF6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F7381C"/>
    <w:multiLevelType w:val="hybridMultilevel"/>
    <w:tmpl w:val="B64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EE"/>
    <w:rsid w:val="00000EF3"/>
    <w:rsid w:val="0000283F"/>
    <w:rsid w:val="000061C7"/>
    <w:rsid w:val="00007305"/>
    <w:rsid w:val="000116B2"/>
    <w:rsid w:val="00014115"/>
    <w:rsid w:val="00021C13"/>
    <w:rsid w:val="00023245"/>
    <w:rsid w:val="00027A06"/>
    <w:rsid w:val="00027AF9"/>
    <w:rsid w:val="00030D26"/>
    <w:rsid w:val="00032111"/>
    <w:rsid w:val="0003682B"/>
    <w:rsid w:val="00036EE8"/>
    <w:rsid w:val="00040404"/>
    <w:rsid w:val="00044812"/>
    <w:rsid w:val="000449CE"/>
    <w:rsid w:val="00047BC4"/>
    <w:rsid w:val="0005067D"/>
    <w:rsid w:val="000508E2"/>
    <w:rsid w:val="000516EA"/>
    <w:rsid w:val="00055598"/>
    <w:rsid w:val="00057DA1"/>
    <w:rsid w:val="00060728"/>
    <w:rsid w:val="00074419"/>
    <w:rsid w:val="00074E5F"/>
    <w:rsid w:val="00084B1D"/>
    <w:rsid w:val="000874E6"/>
    <w:rsid w:val="00095FF6"/>
    <w:rsid w:val="00097FE1"/>
    <w:rsid w:val="000A31EC"/>
    <w:rsid w:val="000A3387"/>
    <w:rsid w:val="000A6A7C"/>
    <w:rsid w:val="000B03A1"/>
    <w:rsid w:val="000B085D"/>
    <w:rsid w:val="000B5DB8"/>
    <w:rsid w:val="000B5E07"/>
    <w:rsid w:val="000C18E7"/>
    <w:rsid w:val="000C24B9"/>
    <w:rsid w:val="000C7DF5"/>
    <w:rsid w:val="000D27C7"/>
    <w:rsid w:val="000D2ABC"/>
    <w:rsid w:val="000D3893"/>
    <w:rsid w:val="000D5BAE"/>
    <w:rsid w:val="000D6148"/>
    <w:rsid w:val="000E6FBD"/>
    <w:rsid w:val="000F1359"/>
    <w:rsid w:val="000F25F7"/>
    <w:rsid w:val="000F4EF9"/>
    <w:rsid w:val="000F75E9"/>
    <w:rsid w:val="0010157B"/>
    <w:rsid w:val="00104E96"/>
    <w:rsid w:val="0011684E"/>
    <w:rsid w:val="00122FC0"/>
    <w:rsid w:val="001240A3"/>
    <w:rsid w:val="0013224B"/>
    <w:rsid w:val="001324CF"/>
    <w:rsid w:val="00133F1A"/>
    <w:rsid w:val="00143DB3"/>
    <w:rsid w:val="00144FE4"/>
    <w:rsid w:val="00146A82"/>
    <w:rsid w:val="00153611"/>
    <w:rsid w:val="001537AB"/>
    <w:rsid w:val="00153A43"/>
    <w:rsid w:val="001545B6"/>
    <w:rsid w:val="001645E0"/>
    <w:rsid w:val="00165BF8"/>
    <w:rsid w:val="001755E5"/>
    <w:rsid w:val="00176B92"/>
    <w:rsid w:val="0017752E"/>
    <w:rsid w:val="00177718"/>
    <w:rsid w:val="001778BB"/>
    <w:rsid w:val="00185D21"/>
    <w:rsid w:val="00191191"/>
    <w:rsid w:val="0019769C"/>
    <w:rsid w:val="001A0A79"/>
    <w:rsid w:val="001A0E08"/>
    <w:rsid w:val="001A1E71"/>
    <w:rsid w:val="001A7BD5"/>
    <w:rsid w:val="001B43A9"/>
    <w:rsid w:val="001B629F"/>
    <w:rsid w:val="001C12DF"/>
    <w:rsid w:val="001C2191"/>
    <w:rsid w:val="001C268D"/>
    <w:rsid w:val="001C2A8A"/>
    <w:rsid w:val="001C2F35"/>
    <w:rsid w:val="001C6299"/>
    <w:rsid w:val="001E0DF7"/>
    <w:rsid w:val="001E1D6B"/>
    <w:rsid w:val="001E2954"/>
    <w:rsid w:val="001E2F39"/>
    <w:rsid w:val="001E3752"/>
    <w:rsid w:val="001F0EAE"/>
    <w:rsid w:val="001F3384"/>
    <w:rsid w:val="001F4C05"/>
    <w:rsid w:val="001F52B7"/>
    <w:rsid w:val="001F653A"/>
    <w:rsid w:val="001F721B"/>
    <w:rsid w:val="002018EF"/>
    <w:rsid w:val="00212ACC"/>
    <w:rsid w:val="00231840"/>
    <w:rsid w:val="00234595"/>
    <w:rsid w:val="002522B7"/>
    <w:rsid w:val="002643DA"/>
    <w:rsid w:val="00264D8F"/>
    <w:rsid w:val="002728EF"/>
    <w:rsid w:val="00273A0C"/>
    <w:rsid w:val="00273CE9"/>
    <w:rsid w:val="00274270"/>
    <w:rsid w:val="002755C4"/>
    <w:rsid w:val="00286449"/>
    <w:rsid w:val="002908CD"/>
    <w:rsid w:val="002A0DDC"/>
    <w:rsid w:val="002A4905"/>
    <w:rsid w:val="002B12AF"/>
    <w:rsid w:val="002B2127"/>
    <w:rsid w:val="002B2E3F"/>
    <w:rsid w:val="002C0AED"/>
    <w:rsid w:val="002C4280"/>
    <w:rsid w:val="002C5AA2"/>
    <w:rsid w:val="002C6B08"/>
    <w:rsid w:val="002C7912"/>
    <w:rsid w:val="002D014B"/>
    <w:rsid w:val="002D3755"/>
    <w:rsid w:val="002D3B4C"/>
    <w:rsid w:val="002D3FFE"/>
    <w:rsid w:val="002E1A10"/>
    <w:rsid w:val="002E1E38"/>
    <w:rsid w:val="002E7EA8"/>
    <w:rsid w:val="002F293B"/>
    <w:rsid w:val="002F6299"/>
    <w:rsid w:val="002F7368"/>
    <w:rsid w:val="002F73FE"/>
    <w:rsid w:val="003031F5"/>
    <w:rsid w:val="00305E52"/>
    <w:rsid w:val="003068E2"/>
    <w:rsid w:val="00312A5D"/>
    <w:rsid w:val="0031505A"/>
    <w:rsid w:val="00315AB9"/>
    <w:rsid w:val="0032049F"/>
    <w:rsid w:val="0032261B"/>
    <w:rsid w:val="00322FD9"/>
    <w:rsid w:val="003232BB"/>
    <w:rsid w:val="0033156B"/>
    <w:rsid w:val="00333258"/>
    <w:rsid w:val="00333D9F"/>
    <w:rsid w:val="00336A26"/>
    <w:rsid w:val="00336CC9"/>
    <w:rsid w:val="00337902"/>
    <w:rsid w:val="003424AA"/>
    <w:rsid w:val="003435F3"/>
    <w:rsid w:val="003438D5"/>
    <w:rsid w:val="00343E68"/>
    <w:rsid w:val="0034635C"/>
    <w:rsid w:val="003507D9"/>
    <w:rsid w:val="00351132"/>
    <w:rsid w:val="00354C12"/>
    <w:rsid w:val="00355B41"/>
    <w:rsid w:val="00364CD4"/>
    <w:rsid w:val="00366D84"/>
    <w:rsid w:val="00374B18"/>
    <w:rsid w:val="003820D6"/>
    <w:rsid w:val="00382A48"/>
    <w:rsid w:val="00382F99"/>
    <w:rsid w:val="00385163"/>
    <w:rsid w:val="0038532A"/>
    <w:rsid w:val="00392CCF"/>
    <w:rsid w:val="00394B57"/>
    <w:rsid w:val="003A0024"/>
    <w:rsid w:val="003A6F8E"/>
    <w:rsid w:val="003B1C46"/>
    <w:rsid w:val="003B43A1"/>
    <w:rsid w:val="003B57DE"/>
    <w:rsid w:val="003B7725"/>
    <w:rsid w:val="003C051F"/>
    <w:rsid w:val="003C34C7"/>
    <w:rsid w:val="003D4B03"/>
    <w:rsid w:val="003D4CA0"/>
    <w:rsid w:val="003D5D2F"/>
    <w:rsid w:val="003D7774"/>
    <w:rsid w:val="003E11FF"/>
    <w:rsid w:val="003F20B7"/>
    <w:rsid w:val="003F2885"/>
    <w:rsid w:val="003F61E3"/>
    <w:rsid w:val="003F6831"/>
    <w:rsid w:val="004022BB"/>
    <w:rsid w:val="00403A18"/>
    <w:rsid w:val="0040450C"/>
    <w:rsid w:val="0040707A"/>
    <w:rsid w:val="00410060"/>
    <w:rsid w:val="00413C47"/>
    <w:rsid w:val="0041524B"/>
    <w:rsid w:val="00416194"/>
    <w:rsid w:val="00416FD6"/>
    <w:rsid w:val="00421C35"/>
    <w:rsid w:val="004246E7"/>
    <w:rsid w:val="0042665F"/>
    <w:rsid w:val="004266DF"/>
    <w:rsid w:val="00430953"/>
    <w:rsid w:val="004355AD"/>
    <w:rsid w:val="00442C4B"/>
    <w:rsid w:val="0044400E"/>
    <w:rsid w:val="004449CC"/>
    <w:rsid w:val="00444C5A"/>
    <w:rsid w:val="0044643E"/>
    <w:rsid w:val="00446A70"/>
    <w:rsid w:val="00452D15"/>
    <w:rsid w:val="00453318"/>
    <w:rsid w:val="004566CD"/>
    <w:rsid w:val="004667AD"/>
    <w:rsid w:val="00466E61"/>
    <w:rsid w:val="004756FA"/>
    <w:rsid w:val="004769B5"/>
    <w:rsid w:val="004769FF"/>
    <w:rsid w:val="00477C5F"/>
    <w:rsid w:val="00481575"/>
    <w:rsid w:val="004818F8"/>
    <w:rsid w:val="00481B18"/>
    <w:rsid w:val="00485CA2"/>
    <w:rsid w:val="00487810"/>
    <w:rsid w:val="00496AA3"/>
    <w:rsid w:val="004A0068"/>
    <w:rsid w:val="004A36AE"/>
    <w:rsid w:val="004A37E6"/>
    <w:rsid w:val="004A4F1B"/>
    <w:rsid w:val="004A519D"/>
    <w:rsid w:val="004A7872"/>
    <w:rsid w:val="004B59AA"/>
    <w:rsid w:val="004C1819"/>
    <w:rsid w:val="004C1D80"/>
    <w:rsid w:val="004C7E17"/>
    <w:rsid w:val="004D14EE"/>
    <w:rsid w:val="004D2605"/>
    <w:rsid w:val="004D3CD2"/>
    <w:rsid w:val="004E2A03"/>
    <w:rsid w:val="004E5EFE"/>
    <w:rsid w:val="004E7ABE"/>
    <w:rsid w:val="004F2DC5"/>
    <w:rsid w:val="004F2DCC"/>
    <w:rsid w:val="005011E6"/>
    <w:rsid w:val="0050209C"/>
    <w:rsid w:val="00503791"/>
    <w:rsid w:val="0050740C"/>
    <w:rsid w:val="00512BB1"/>
    <w:rsid w:val="00513210"/>
    <w:rsid w:val="005168CF"/>
    <w:rsid w:val="00522AEE"/>
    <w:rsid w:val="005255BF"/>
    <w:rsid w:val="00525D9E"/>
    <w:rsid w:val="00530449"/>
    <w:rsid w:val="0053641C"/>
    <w:rsid w:val="00537078"/>
    <w:rsid w:val="00541035"/>
    <w:rsid w:val="00542081"/>
    <w:rsid w:val="00544B16"/>
    <w:rsid w:val="00544D23"/>
    <w:rsid w:val="005470C7"/>
    <w:rsid w:val="00560E84"/>
    <w:rsid w:val="00561037"/>
    <w:rsid w:val="00561924"/>
    <w:rsid w:val="00563BCA"/>
    <w:rsid w:val="00564A0D"/>
    <w:rsid w:val="00566E2E"/>
    <w:rsid w:val="0057009F"/>
    <w:rsid w:val="005706D5"/>
    <w:rsid w:val="00570E18"/>
    <w:rsid w:val="00574168"/>
    <w:rsid w:val="0057515B"/>
    <w:rsid w:val="00576DD3"/>
    <w:rsid w:val="005778FE"/>
    <w:rsid w:val="00580C5E"/>
    <w:rsid w:val="005873EA"/>
    <w:rsid w:val="00591EBA"/>
    <w:rsid w:val="005941CF"/>
    <w:rsid w:val="005A2AA6"/>
    <w:rsid w:val="005A31DD"/>
    <w:rsid w:val="005B047D"/>
    <w:rsid w:val="005B2A1E"/>
    <w:rsid w:val="005B599B"/>
    <w:rsid w:val="005B7874"/>
    <w:rsid w:val="005C03C8"/>
    <w:rsid w:val="005C118B"/>
    <w:rsid w:val="005D076A"/>
    <w:rsid w:val="005D1212"/>
    <w:rsid w:val="005D65AC"/>
    <w:rsid w:val="005D7A62"/>
    <w:rsid w:val="005E0A71"/>
    <w:rsid w:val="005E1671"/>
    <w:rsid w:val="005E2F3F"/>
    <w:rsid w:val="005E659A"/>
    <w:rsid w:val="005F1E84"/>
    <w:rsid w:val="005F3EEB"/>
    <w:rsid w:val="005F50FA"/>
    <w:rsid w:val="006002C7"/>
    <w:rsid w:val="0060061B"/>
    <w:rsid w:val="006041FE"/>
    <w:rsid w:val="00612658"/>
    <w:rsid w:val="0061314B"/>
    <w:rsid w:val="00614C83"/>
    <w:rsid w:val="006223D1"/>
    <w:rsid w:val="00622A00"/>
    <w:rsid w:val="00622A70"/>
    <w:rsid w:val="006241A3"/>
    <w:rsid w:val="00626E50"/>
    <w:rsid w:val="0063169C"/>
    <w:rsid w:val="00631828"/>
    <w:rsid w:val="00640152"/>
    <w:rsid w:val="00640848"/>
    <w:rsid w:val="00642B44"/>
    <w:rsid w:val="00642DAF"/>
    <w:rsid w:val="006443C2"/>
    <w:rsid w:val="0064549C"/>
    <w:rsid w:val="00650EAF"/>
    <w:rsid w:val="00651104"/>
    <w:rsid w:val="00653A24"/>
    <w:rsid w:val="00653ED8"/>
    <w:rsid w:val="00655150"/>
    <w:rsid w:val="006650D8"/>
    <w:rsid w:val="00673F1F"/>
    <w:rsid w:val="0067425B"/>
    <w:rsid w:val="006745AC"/>
    <w:rsid w:val="006807B5"/>
    <w:rsid w:val="00685568"/>
    <w:rsid w:val="00685A46"/>
    <w:rsid w:val="00686D16"/>
    <w:rsid w:val="00686F4F"/>
    <w:rsid w:val="00687959"/>
    <w:rsid w:val="00691836"/>
    <w:rsid w:val="00696276"/>
    <w:rsid w:val="006A0B89"/>
    <w:rsid w:val="006A39D2"/>
    <w:rsid w:val="006A3DA2"/>
    <w:rsid w:val="006A6892"/>
    <w:rsid w:val="006B1201"/>
    <w:rsid w:val="006B198E"/>
    <w:rsid w:val="006B6B5B"/>
    <w:rsid w:val="006C26C9"/>
    <w:rsid w:val="006C4387"/>
    <w:rsid w:val="006C785C"/>
    <w:rsid w:val="006D02EF"/>
    <w:rsid w:val="006D3989"/>
    <w:rsid w:val="006D5121"/>
    <w:rsid w:val="006E6542"/>
    <w:rsid w:val="006E7B24"/>
    <w:rsid w:val="00700821"/>
    <w:rsid w:val="007049F9"/>
    <w:rsid w:val="007073EF"/>
    <w:rsid w:val="007156CC"/>
    <w:rsid w:val="00715843"/>
    <w:rsid w:val="00721896"/>
    <w:rsid w:val="00721D3E"/>
    <w:rsid w:val="007311DC"/>
    <w:rsid w:val="007319C3"/>
    <w:rsid w:val="00733416"/>
    <w:rsid w:val="00734E89"/>
    <w:rsid w:val="0073626D"/>
    <w:rsid w:val="007445AC"/>
    <w:rsid w:val="0074670A"/>
    <w:rsid w:val="00747D19"/>
    <w:rsid w:val="00752959"/>
    <w:rsid w:val="00755C70"/>
    <w:rsid w:val="007561EF"/>
    <w:rsid w:val="0075709B"/>
    <w:rsid w:val="00757D1F"/>
    <w:rsid w:val="0076138D"/>
    <w:rsid w:val="00762A3E"/>
    <w:rsid w:val="00763830"/>
    <w:rsid w:val="00763DB1"/>
    <w:rsid w:val="00763F29"/>
    <w:rsid w:val="0076618A"/>
    <w:rsid w:val="00772DCA"/>
    <w:rsid w:val="00777E78"/>
    <w:rsid w:val="0078319D"/>
    <w:rsid w:val="00783939"/>
    <w:rsid w:val="00784722"/>
    <w:rsid w:val="0079058F"/>
    <w:rsid w:val="00793176"/>
    <w:rsid w:val="00795FBE"/>
    <w:rsid w:val="00796CC8"/>
    <w:rsid w:val="007A121B"/>
    <w:rsid w:val="007A1FC0"/>
    <w:rsid w:val="007A265A"/>
    <w:rsid w:val="007A2B74"/>
    <w:rsid w:val="007A69C1"/>
    <w:rsid w:val="007A71EA"/>
    <w:rsid w:val="007A7A06"/>
    <w:rsid w:val="007B1565"/>
    <w:rsid w:val="007B208E"/>
    <w:rsid w:val="007B4794"/>
    <w:rsid w:val="007B76E9"/>
    <w:rsid w:val="007C0B4C"/>
    <w:rsid w:val="007D0062"/>
    <w:rsid w:val="007D2F14"/>
    <w:rsid w:val="007D40C8"/>
    <w:rsid w:val="007D4BFF"/>
    <w:rsid w:val="007D4D09"/>
    <w:rsid w:val="007E12F6"/>
    <w:rsid w:val="007F686E"/>
    <w:rsid w:val="00803935"/>
    <w:rsid w:val="00804897"/>
    <w:rsid w:val="00805406"/>
    <w:rsid w:val="008055CE"/>
    <w:rsid w:val="00806510"/>
    <w:rsid w:val="00811DD2"/>
    <w:rsid w:val="0081258A"/>
    <w:rsid w:val="00812D86"/>
    <w:rsid w:val="00813FDA"/>
    <w:rsid w:val="00817950"/>
    <w:rsid w:val="00826ACF"/>
    <w:rsid w:val="00833B1A"/>
    <w:rsid w:val="0083413E"/>
    <w:rsid w:val="00840BCA"/>
    <w:rsid w:val="00843959"/>
    <w:rsid w:val="00843A09"/>
    <w:rsid w:val="0084787B"/>
    <w:rsid w:val="00850BE6"/>
    <w:rsid w:val="00850E07"/>
    <w:rsid w:val="00853888"/>
    <w:rsid w:val="00853A68"/>
    <w:rsid w:val="00853D5C"/>
    <w:rsid w:val="00853F53"/>
    <w:rsid w:val="00855644"/>
    <w:rsid w:val="00855AD2"/>
    <w:rsid w:val="00860E56"/>
    <w:rsid w:val="0086114F"/>
    <w:rsid w:val="00861828"/>
    <w:rsid w:val="008623C9"/>
    <w:rsid w:val="0086341D"/>
    <w:rsid w:val="00870194"/>
    <w:rsid w:val="008712C9"/>
    <w:rsid w:val="0087280A"/>
    <w:rsid w:val="00873ECA"/>
    <w:rsid w:val="00880B85"/>
    <w:rsid w:val="00881DBB"/>
    <w:rsid w:val="008841EA"/>
    <w:rsid w:val="00886B54"/>
    <w:rsid w:val="00887C9B"/>
    <w:rsid w:val="00887F7D"/>
    <w:rsid w:val="0089042A"/>
    <w:rsid w:val="0089118B"/>
    <w:rsid w:val="008964BE"/>
    <w:rsid w:val="008A5021"/>
    <w:rsid w:val="008B41A1"/>
    <w:rsid w:val="008B6AA6"/>
    <w:rsid w:val="008C0375"/>
    <w:rsid w:val="008C03D1"/>
    <w:rsid w:val="008C062E"/>
    <w:rsid w:val="008C0774"/>
    <w:rsid w:val="008C0C25"/>
    <w:rsid w:val="008C3A48"/>
    <w:rsid w:val="008D13F5"/>
    <w:rsid w:val="008D1D9F"/>
    <w:rsid w:val="008D4991"/>
    <w:rsid w:val="008D6330"/>
    <w:rsid w:val="008D7BDE"/>
    <w:rsid w:val="008E07D6"/>
    <w:rsid w:val="008E0F5C"/>
    <w:rsid w:val="008E4F49"/>
    <w:rsid w:val="008F0472"/>
    <w:rsid w:val="008F12A6"/>
    <w:rsid w:val="008F3384"/>
    <w:rsid w:val="008F5F3C"/>
    <w:rsid w:val="008F6AE5"/>
    <w:rsid w:val="008F72DF"/>
    <w:rsid w:val="00901B0B"/>
    <w:rsid w:val="00904D57"/>
    <w:rsid w:val="0090528E"/>
    <w:rsid w:val="00907170"/>
    <w:rsid w:val="00910712"/>
    <w:rsid w:val="00910DD3"/>
    <w:rsid w:val="00911299"/>
    <w:rsid w:val="0091150B"/>
    <w:rsid w:val="0091472F"/>
    <w:rsid w:val="00917866"/>
    <w:rsid w:val="009230C5"/>
    <w:rsid w:val="009302DA"/>
    <w:rsid w:val="009311A7"/>
    <w:rsid w:val="00935D5D"/>
    <w:rsid w:val="00944AAD"/>
    <w:rsid w:val="00947D35"/>
    <w:rsid w:val="00953523"/>
    <w:rsid w:val="0096243E"/>
    <w:rsid w:val="00963E2C"/>
    <w:rsid w:val="009662D8"/>
    <w:rsid w:val="00966EF8"/>
    <w:rsid w:val="00971DB3"/>
    <w:rsid w:val="009728E6"/>
    <w:rsid w:val="009743A9"/>
    <w:rsid w:val="009863EA"/>
    <w:rsid w:val="009869EA"/>
    <w:rsid w:val="0099272A"/>
    <w:rsid w:val="00993F0B"/>
    <w:rsid w:val="009964D5"/>
    <w:rsid w:val="009A1D1D"/>
    <w:rsid w:val="009A1F6F"/>
    <w:rsid w:val="009A26EB"/>
    <w:rsid w:val="009A4459"/>
    <w:rsid w:val="009A7428"/>
    <w:rsid w:val="009B3234"/>
    <w:rsid w:val="009B3B55"/>
    <w:rsid w:val="009B3E08"/>
    <w:rsid w:val="009B44D9"/>
    <w:rsid w:val="009B4F9C"/>
    <w:rsid w:val="009B63B6"/>
    <w:rsid w:val="009B64B5"/>
    <w:rsid w:val="009C6213"/>
    <w:rsid w:val="009E76BF"/>
    <w:rsid w:val="009E7E6F"/>
    <w:rsid w:val="00A011EE"/>
    <w:rsid w:val="00A01FFA"/>
    <w:rsid w:val="00A027A2"/>
    <w:rsid w:val="00A02A85"/>
    <w:rsid w:val="00A02BF9"/>
    <w:rsid w:val="00A02F78"/>
    <w:rsid w:val="00A04705"/>
    <w:rsid w:val="00A108AF"/>
    <w:rsid w:val="00A13CAE"/>
    <w:rsid w:val="00A224B2"/>
    <w:rsid w:val="00A23DCD"/>
    <w:rsid w:val="00A26EAD"/>
    <w:rsid w:val="00A3526B"/>
    <w:rsid w:val="00A36878"/>
    <w:rsid w:val="00A37D85"/>
    <w:rsid w:val="00A437A0"/>
    <w:rsid w:val="00A4593F"/>
    <w:rsid w:val="00A4664E"/>
    <w:rsid w:val="00A46E7D"/>
    <w:rsid w:val="00A47252"/>
    <w:rsid w:val="00A5262B"/>
    <w:rsid w:val="00A52C83"/>
    <w:rsid w:val="00A55FD7"/>
    <w:rsid w:val="00A57714"/>
    <w:rsid w:val="00A60348"/>
    <w:rsid w:val="00A6537F"/>
    <w:rsid w:val="00A673AE"/>
    <w:rsid w:val="00A67A0F"/>
    <w:rsid w:val="00A811A5"/>
    <w:rsid w:val="00A87ADA"/>
    <w:rsid w:val="00A92179"/>
    <w:rsid w:val="00A92E02"/>
    <w:rsid w:val="00A93C8B"/>
    <w:rsid w:val="00A93FBB"/>
    <w:rsid w:val="00AA00FD"/>
    <w:rsid w:val="00AA10A4"/>
    <w:rsid w:val="00AA3460"/>
    <w:rsid w:val="00AA38A4"/>
    <w:rsid w:val="00AA414F"/>
    <w:rsid w:val="00AA59C2"/>
    <w:rsid w:val="00AA755A"/>
    <w:rsid w:val="00AB1E8A"/>
    <w:rsid w:val="00AB5298"/>
    <w:rsid w:val="00AB60DA"/>
    <w:rsid w:val="00AB7D8B"/>
    <w:rsid w:val="00AC04A9"/>
    <w:rsid w:val="00AC2E66"/>
    <w:rsid w:val="00AC3B6A"/>
    <w:rsid w:val="00AC46E6"/>
    <w:rsid w:val="00AC4DB0"/>
    <w:rsid w:val="00AC71B3"/>
    <w:rsid w:val="00AD10F8"/>
    <w:rsid w:val="00AD5BCD"/>
    <w:rsid w:val="00AD6D4A"/>
    <w:rsid w:val="00AD7849"/>
    <w:rsid w:val="00AE2154"/>
    <w:rsid w:val="00AE5359"/>
    <w:rsid w:val="00AF1682"/>
    <w:rsid w:val="00AF1911"/>
    <w:rsid w:val="00AF1EFE"/>
    <w:rsid w:val="00AF6B8F"/>
    <w:rsid w:val="00AF6ED6"/>
    <w:rsid w:val="00AF7145"/>
    <w:rsid w:val="00AF7845"/>
    <w:rsid w:val="00B02F80"/>
    <w:rsid w:val="00B10AEC"/>
    <w:rsid w:val="00B11A1C"/>
    <w:rsid w:val="00B12F84"/>
    <w:rsid w:val="00B14188"/>
    <w:rsid w:val="00B21341"/>
    <w:rsid w:val="00B22C02"/>
    <w:rsid w:val="00B315C5"/>
    <w:rsid w:val="00B32155"/>
    <w:rsid w:val="00B454E5"/>
    <w:rsid w:val="00B5421C"/>
    <w:rsid w:val="00B579F1"/>
    <w:rsid w:val="00B62A0C"/>
    <w:rsid w:val="00B70010"/>
    <w:rsid w:val="00B73E42"/>
    <w:rsid w:val="00B759FA"/>
    <w:rsid w:val="00B76F04"/>
    <w:rsid w:val="00B770D6"/>
    <w:rsid w:val="00B812C2"/>
    <w:rsid w:val="00B8491D"/>
    <w:rsid w:val="00B93A19"/>
    <w:rsid w:val="00B951FD"/>
    <w:rsid w:val="00B9574D"/>
    <w:rsid w:val="00B97311"/>
    <w:rsid w:val="00BA1553"/>
    <w:rsid w:val="00BA4123"/>
    <w:rsid w:val="00BA4548"/>
    <w:rsid w:val="00BA4C39"/>
    <w:rsid w:val="00BA7955"/>
    <w:rsid w:val="00BB00D9"/>
    <w:rsid w:val="00BB653E"/>
    <w:rsid w:val="00BC4BA3"/>
    <w:rsid w:val="00BC4EBE"/>
    <w:rsid w:val="00BC66DE"/>
    <w:rsid w:val="00BD52D9"/>
    <w:rsid w:val="00BD64EB"/>
    <w:rsid w:val="00BE325E"/>
    <w:rsid w:val="00BE5DC4"/>
    <w:rsid w:val="00BE650C"/>
    <w:rsid w:val="00BE6B13"/>
    <w:rsid w:val="00BF08FE"/>
    <w:rsid w:val="00BF0D82"/>
    <w:rsid w:val="00BF6C9D"/>
    <w:rsid w:val="00BF75C8"/>
    <w:rsid w:val="00C03137"/>
    <w:rsid w:val="00C07ECE"/>
    <w:rsid w:val="00C13290"/>
    <w:rsid w:val="00C137E9"/>
    <w:rsid w:val="00C13EC6"/>
    <w:rsid w:val="00C16D01"/>
    <w:rsid w:val="00C20017"/>
    <w:rsid w:val="00C211DF"/>
    <w:rsid w:val="00C21BB6"/>
    <w:rsid w:val="00C22B72"/>
    <w:rsid w:val="00C23F64"/>
    <w:rsid w:val="00C24D91"/>
    <w:rsid w:val="00C31B5D"/>
    <w:rsid w:val="00C324FC"/>
    <w:rsid w:val="00C33BA1"/>
    <w:rsid w:val="00C353F2"/>
    <w:rsid w:val="00C37FED"/>
    <w:rsid w:val="00C435D6"/>
    <w:rsid w:val="00C44F19"/>
    <w:rsid w:val="00C4559E"/>
    <w:rsid w:val="00C47874"/>
    <w:rsid w:val="00C47C91"/>
    <w:rsid w:val="00C500B0"/>
    <w:rsid w:val="00C51408"/>
    <w:rsid w:val="00C530D7"/>
    <w:rsid w:val="00C56A63"/>
    <w:rsid w:val="00C617E2"/>
    <w:rsid w:val="00C61EC4"/>
    <w:rsid w:val="00C66350"/>
    <w:rsid w:val="00C66B88"/>
    <w:rsid w:val="00C72B8D"/>
    <w:rsid w:val="00C74255"/>
    <w:rsid w:val="00C7444D"/>
    <w:rsid w:val="00C76E70"/>
    <w:rsid w:val="00C825EE"/>
    <w:rsid w:val="00C83054"/>
    <w:rsid w:val="00C86491"/>
    <w:rsid w:val="00C86C07"/>
    <w:rsid w:val="00C91691"/>
    <w:rsid w:val="00C93DF8"/>
    <w:rsid w:val="00CA1667"/>
    <w:rsid w:val="00CA3A1F"/>
    <w:rsid w:val="00CA40B8"/>
    <w:rsid w:val="00CA4811"/>
    <w:rsid w:val="00CB0C5F"/>
    <w:rsid w:val="00CC3C3D"/>
    <w:rsid w:val="00CC7B57"/>
    <w:rsid w:val="00CD7880"/>
    <w:rsid w:val="00CE13DF"/>
    <w:rsid w:val="00CE16EA"/>
    <w:rsid w:val="00CE301B"/>
    <w:rsid w:val="00CE331C"/>
    <w:rsid w:val="00CE709B"/>
    <w:rsid w:val="00CF1409"/>
    <w:rsid w:val="00CF2266"/>
    <w:rsid w:val="00CF24C3"/>
    <w:rsid w:val="00CF28E3"/>
    <w:rsid w:val="00CF5F36"/>
    <w:rsid w:val="00CF6A1C"/>
    <w:rsid w:val="00CF7F70"/>
    <w:rsid w:val="00D00368"/>
    <w:rsid w:val="00D02322"/>
    <w:rsid w:val="00D0248B"/>
    <w:rsid w:val="00D02C6E"/>
    <w:rsid w:val="00D05AD9"/>
    <w:rsid w:val="00D10782"/>
    <w:rsid w:val="00D122D7"/>
    <w:rsid w:val="00D1271F"/>
    <w:rsid w:val="00D1605A"/>
    <w:rsid w:val="00D1692E"/>
    <w:rsid w:val="00D26176"/>
    <w:rsid w:val="00D31C09"/>
    <w:rsid w:val="00D32FD4"/>
    <w:rsid w:val="00D371B3"/>
    <w:rsid w:val="00D37B78"/>
    <w:rsid w:val="00D44E1F"/>
    <w:rsid w:val="00D44F65"/>
    <w:rsid w:val="00D46D8E"/>
    <w:rsid w:val="00D50445"/>
    <w:rsid w:val="00D526DF"/>
    <w:rsid w:val="00D52F45"/>
    <w:rsid w:val="00D5567B"/>
    <w:rsid w:val="00D577A6"/>
    <w:rsid w:val="00D63393"/>
    <w:rsid w:val="00D635A0"/>
    <w:rsid w:val="00D64F0E"/>
    <w:rsid w:val="00D6512A"/>
    <w:rsid w:val="00D66574"/>
    <w:rsid w:val="00D728C3"/>
    <w:rsid w:val="00D74B30"/>
    <w:rsid w:val="00D76DF0"/>
    <w:rsid w:val="00D77EDF"/>
    <w:rsid w:val="00D86F2D"/>
    <w:rsid w:val="00D876AD"/>
    <w:rsid w:val="00D92A75"/>
    <w:rsid w:val="00D94ECB"/>
    <w:rsid w:val="00D96376"/>
    <w:rsid w:val="00DA2045"/>
    <w:rsid w:val="00DA6AF4"/>
    <w:rsid w:val="00DA7965"/>
    <w:rsid w:val="00DB3F83"/>
    <w:rsid w:val="00DB706F"/>
    <w:rsid w:val="00DB7C4A"/>
    <w:rsid w:val="00DC29F4"/>
    <w:rsid w:val="00DD248A"/>
    <w:rsid w:val="00DD4A93"/>
    <w:rsid w:val="00DD64D4"/>
    <w:rsid w:val="00DD6AE4"/>
    <w:rsid w:val="00DE2609"/>
    <w:rsid w:val="00DE30AE"/>
    <w:rsid w:val="00DF4876"/>
    <w:rsid w:val="00E02A9C"/>
    <w:rsid w:val="00E02CE0"/>
    <w:rsid w:val="00E072DC"/>
    <w:rsid w:val="00E07DF4"/>
    <w:rsid w:val="00E118A5"/>
    <w:rsid w:val="00E12FF7"/>
    <w:rsid w:val="00E13ECE"/>
    <w:rsid w:val="00E2567A"/>
    <w:rsid w:val="00E27F72"/>
    <w:rsid w:val="00E368EB"/>
    <w:rsid w:val="00E3697B"/>
    <w:rsid w:val="00E37DB2"/>
    <w:rsid w:val="00E43AB2"/>
    <w:rsid w:val="00E44D58"/>
    <w:rsid w:val="00E46CB3"/>
    <w:rsid w:val="00E526A8"/>
    <w:rsid w:val="00E534DA"/>
    <w:rsid w:val="00E61A07"/>
    <w:rsid w:val="00E64BF6"/>
    <w:rsid w:val="00E65031"/>
    <w:rsid w:val="00E706C0"/>
    <w:rsid w:val="00E7100D"/>
    <w:rsid w:val="00E77B48"/>
    <w:rsid w:val="00E81593"/>
    <w:rsid w:val="00E8360F"/>
    <w:rsid w:val="00E86A0F"/>
    <w:rsid w:val="00E86C1B"/>
    <w:rsid w:val="00E8706E"/>
    <w:rsid w:val="00E93FD9"/>
    <w:rsid w:val="00E944B5"/>
    <w:rsid w:val="00EA02EE"/>
    <w:rsid w:val="00EA040D"/>
    <w:rsid w:val="00EA30CB"/>
    <w:rsid w:val="00EA7F66"/>
    <w:rsid w:val="00EB08A5"/>
    <w:rsid w:val="00EB1A8D"/>
    <w:rsid w:val="00EB1C28"/>
    <w:rsid w:val="00EB2F2D"/>
    <w:rsid w:val="00EB3E06"/>
    <w:rsid w:val="00EB6B09"/>
    <w:rsid w:val="00EB6C02"/>
    <w:rsid w:val="00EB77A3"/>
    <w:rsid w:val="00EC2E38"/>
    <w:rsid w:val="00EC550A"/>
    <w:rsid w:val="00EC6D0F"/>
    <w:rsid w:val="00EE0073"/>
    <w:rsid w:val="00EE1BD5"/>
    <w:rsid w:val="00EE39F3"/>
    <w:rsid w:val="00EE62CA"/>
    <w:rsid w:val="00EE6C81"/>
    <w:rsid w:val="00EF06BE"/>
    <w:rsid w:val="00EF2421"/>
    <w:rsid w:val="00EF2CA0"/>
    <w:rsid w:val="00EF366A"/>
    <w:rsid w:val="00EF5044"/>
    <w:rsid w:val="00EF6B80"/>
    <w:rsid w:val="00F01A1F"/>
    <w:rsid w:val="00F03B23"/>
    <w:rsid w:val="00F05D63"/>
    <w:rsid w:val="00F05FBD"/>
    <w:rsid w:val="00F156E6"/>
    <w:rsid w:val="00F17DF5"/>
    <w:rsid w:val="00F20A82"/>
    <w:rsid w:val="00F21314"/>
    <w:rsid w:val="00F21DA4"/>
    <w:rsid w:val="00F2400A"/>
    <w:rsid w:val="00F250FB"/>
    <w:rsid w:val="00F261FA"/>
    <w:rsid w:val="00F2695C"/>
    <w:rsid w:val="00F328DB"/>
    <w:rsid w:val="00F346CA"/>
    <w:rsid w:val="00F37575"/>
    <w:rsid w:val="00F405B3"/>
    <w:rsid w:val="00F40DD7"/>
    <w:rsid w:val="00F42C23"/>
    <w:rsid w:val="00F44782"/>
    <w:rsid w:val="00F47B4E"/>
    <w:rsid w:val="00F54906"/>
    <w:rsid w:val="00F55696"/>
    <w:rsid w:val="00F56D71"/>
    <w:rsid w:val="00F71D61"/>
    <w:rsid w:val="00F732E9"/>
    <w:rsid w:val="00F74498"/>
    <w:rsid w:val="00F744AC"/>
    <w:rsid w:val="00F76A85"/>
    <w:rsid w:val="00F76CB8"/>
    <w:rsid w:val="00F77427"/>
    <w:rsid w:val="00F858AD"/>
    <w:rsid w:val="00F8735B"/>
    <w:rsid w:val="00F92EEC"/>
    <w:rsid w:val="00F9327A"/>
    <w:rsid w:val="00F945D9"/>
    <w:rsid w:val="00F94B4A"/>
    <w:rsid w:val="00F94FF8"/>
    <w:rsid w:val="00FA1543"/>
    <w:rsid w:val="00FA7F0E"/>
    <w:rsid w:val="00FB33FE"/>
    <w:rsid w:val="00FB3FB8"/>
    <w:rsid w:val="00FB52DD"/>
    <w:rsid w:val="00FB6123"/>
    <w:rsid w:val="00FB6449"/>
    <w:rsid w:val="00FC1DAE"/>
    <w:rsid w:val="00FC2707"/>
    <w:rsid w:val="00FD0FBF"/>
    <w:rsid w:val="00FD20DD"/>
    <w:rsid w:val="00FD2B6C"/>
    <w:rsid w:val="00FD6CF4"/>
    <w:rsid w:val="00FD742D"/>
    <w:rsid w:val="00FE2D68"/>
    <w:rsid w:val="00FF7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D139"/>
  <w15:chartTrackingRefBased/>
  <w15:docId w15:val="{0FA6A800-43B1-48EC-B18B-A92231BF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B2"/>
    <w:rPr>
      <w:rFonts w:ascii="Segoe UI" w:hAnsi="Segoe UI" w:cs="Segoe UI"/>
      <w:sz w:val="18"/>
      <w:szCs w:val="18"/>
      <w:lang w:val="en-GB"/>
    </w:rPr>
  </w:style>
  <w:style w:type="paragraph" w:styleId="ListParagraph">
    <w:name w:val="List Paragraph"/>
    <w:basedOn w:val="Normal"/>
    <w:uiPriority w:val="34"/>
    <w:qFormat/>
    <w:rsid w:val="006443C2"/>
    <w:pPr>
      <w:ind w:left="720"/>
      <w:contextualSpacing/>
    </w:pPr>
  </w:style>
  <w:style w:type="paragraph" w:styleId="Header">
    <w:name w:val="header"/>
    <w:basedOn w:val="Normal"/>
    <w:link w:val="HeaderChar"/>
    <w:uiPriority w:val="99"/>
    <w:unhideWhenUsed/>
    <w:rsid w:val="0062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3D1"/>
    <w:rPr>
      <w:lang w:val="en-GB"/>
    </w:rPr>
  </w:style>
  <w:style w:type="paragraph" w:styleId="Footer">
    <w:name w:val="footer"/>
    <w:basedOn w:val="Normal"/>
    <w:link w:val="FooterChar"/>
    <w:uiPriority w:val="99"/>
    <w:unhideWhenUsed/>
    <w:rsid w:val="00622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3D1"/>
    <w:rPr>
      <w:lang w:val="en-GB"/>
    </w:rPr>
  </w:style>
  <w:style w:type="character" w:styleId="CommentReference">
    <w:name w:val="annotation reference"/>
    <w:basedOn w:val="DefaultParagraphFont"/>
    <w:uiPriority w:val="99"/>
    <w:semiHidden/>
    <w:unhideWhenUsed/>
    <w:rsid w:val="00C353F2"/>
    <w:rPr>
      <w:sz w:val="16"/>
      <w:szCs w:val="16"/>
    </w:rPr>
  </w:style>
  <w:style w:type="paragraph" w:styleId="CommentText">
    <w:name w:val="annotation text"/>
    <w:basedOn w:val="Normal"/>
    <w:link w:val="CommentTextChar"/>
    <w:uiPriority w:val="99"/>
    <w:semiHidden/>
    <w:unhideWhenUsed/>
    <w:rsid w:val="00C353F2"/>
    <w:pPr>
      <w:spacing w:line="240" w:lineRule="auto"/>
    </w:pPr>
    <w:rPr>
      <w:sz w:val="20"/>
      <w:szCs w:val="20"/>
    </w:rPr>
  </w:style>
  <w:style w:type="character" w:customStyle="1" w:styleId="CommentTextChar">
    <w:name w:val="Comment Text Char"/>
    <w:basedOn w:val="DefaultParagraphFont"/>
    <w:link w:val="CommentText"/>
    <w:uiPriority w:val="99"/>
    <w:semiHidden/>
    <w:rsid w:val="00C353F2"/>
    <w:rPr>
      <w:sz w:val="20"/>
      <w:szCs w:val="20"/>
      <w:lang w:val="en-GB"/>
    </w:rPr>
  </w:style>
  <w:style w:type="paragraph" w:styleId="CommentSubject">
    <w:name w:val="annotation subject"/>
    <w:basedOn w:val="CommentText"/>
    <w:next w:val="CommentText"/>
    <w:link w:val="CommentSubjectChar"/>
    <w:uiPriority w:val="99"/>
    <w:semiHidden/>
    <w:unhideWhenUsed/>
    <w:rsid w:val="00C353F2"/>
    <w:rPr>
      <w:b/>
      <w:bCs/>
    </w:rPr>
  </w:style>
  <w:style w:type="character" w:customStyle="1" w:styleId="CommentSubjectChar">
    <w:name w:val="Comment Subject Char"/>
    <w:basedOn w:val="CommentTextChar"/>
    <w:link w:val="CommentSubject"/>
    <w:uiPriority w:val="99"/>
    <w:semiHidden/>
    <w:rsid w:val="00C353F2"/>
    <w:rPr>
      <w:b/>
      <w:bCs/>
      <w:sz w:val="20"/>
      <w:szCs w:val="20"/>
      <w:lang w:val="en-GB"/>
    </w:rPr>
  </w:style>
  <w:style w:type="character" w:styleId="Hyperlink">
    <w:name w:val="Hyperlink"/>
    <w:basedOn w:val="DefaultParagraphFont"/>
    <w:uiPriority w:val="99"/>
    <w:unhideWhenUsed/>
    <w:rsid w:val="000A6A7C"/>
    <w:rPr>
      <w:color w:val="0563C1" w:themeColor="hyperlink"/>
      <w:u w:val="single"/>
    </w:rPr>
  </w:style>
  <w:style w:type="character" w:styleId="UnresolvedMention">
    <w:name w:val="Unresolved Mention"/>
    <w:basedOn w:val="DefaultParagraphFont"/>
    <w:uiPriority w:val="99"/>
    <w:semiHidden/>
    <w:unhideWhenUsed/>
    <w:rsid w:val="000A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7810">
      <w:bodyDiv w:val="1"/>
      <w:marLeft w:val="0"/>
      <w:marRight w:val="0"/>
      <w:marTop w:val="0"/>
      <w:marBottom w:val="0"/>
      <w:divBdr>
        <w:top w:val="none" w:sz="0" w:space="0" w:color="auto"/>
        <w:left w:val="none" w:sz="0" w:space="0" w:color="auto"/>
        <w:bottom w:val="none" w:sz="0" w:space="0" w:color="auto"/>
        <w:right w:val="none" w:sz="0" w:space="0" w:color="auto"/>
      </w:divBdr>
    </w:div>
    <w:div w:id="262687664">
      <w:bodyDiv w:val="1"/>
      <w:marLeft w:val="0"/>
      <w:marRight w:val="0"/>
      <w:marTop w:val="0"/>
      <w:marBottom w:val="0"/>
      <w:divBdr>
        <w:top w:val="none" w:sz="0" w:space="0" w:color="auto"/>
        <w:left w:val="none" w:sz="0" w:space="0" w:color="auto"/>
        <w:bottom w:val="none" w:sz="0" w:space="0" w:color="auto"/>
        <w:right w:val="none" w:sz="0" w:space="0" w:color="auto"/>
      </w:divBdr>
    </w:div>
    <w:div w:id="1591549829">
      <w:bodyDiv w:val="1"/>
      <w:marLeft w:val="0"/>
      <w:marRight w:val="0"/>
      <w:marTop w:val="0"/>
      <w:marBottom w:val="0"/>
      <w:divBdr>
        <w:top w:val="none" w:sz="0" w:space="0" w:color="auto"/>
        <w:left w:val="none" w:sz="0" w:space="0" w:color="auto"/>
        <w:bottom w:val="none" w:sz="0" w:space="0" w:color="auto"/>
        <w:right w:val="none" w:sz="0" w:space="0" w:color="auto"/>
      </w:divBdr>
    </w:div>
    <w:div w:id="1615939025">
      <w:bodyDiv w:val="1"/>
      <w:marLeft w:val="0"/>
      <w:marRight w:val="0"/>
      <w:marTop w:val="0"/>
      <w:marBottom w:val="0"/>
      <w:divBdr>
        <w:top w:val="none" w:sz="0" w:space="0" w:color="auto"/>
        <w:left w:val="none" w:sz="0" w:space="0" w:color="auto"/>
        <w:bottom w:val="none" w:sz="0" w:space="0" w:color="auto"/>
        <w:right w:val="none" w:sz="0" w:space="0" w:color="auto"/>
      </w:divBdr>
    </w:div>
    <w:div w:id="16560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tomedicinefound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assey@accesstomedicinefounda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0EC6004DBEF4EBFBE38BF237741AF" ma:contentTypeVersion="13" ma:contentTypeDescription="Create a new document." ma:contentTypeScope="" ma:versionID="e5c2a7f41978c1d8773c20742aafa7f7">
  <xsd:schema xmlns:xsd="http://www.w3.org/2001/XMLSchema" xmlns:xs="http://www.w3.org/2001/XMLSchema" xmlns:p="http://schemas.microsoft.com/office/2006/metadata/properties" xmlns:ns2="2db09d66-1f85-400a-8178-5ce3513ca97c" xmlns:ns3="7bea724b-f35e-46db-94d1-ef63551b485c" targetNamespace="http://schemas.microsoft.com/office/2006/metadata/properties" ma:root="true" ma:fieldsID="b721c533044526af57a5cb49fed02431" ns2:_="" ns3:_="">
    <xsd:import namespace="2db09d66-1f85-400a-8178-5ce3513ca97c"/>
    <xsd:import namespace="7bea724b-f35e-46db-94d1-ef63551b485c"/>
    <xsd:element name="properties">
      <xsd:complexType>
        <xsd:sequence>
          <xsd:element name="documentManagement">
            <xsd:complexType>
              <xsd:all>
                <xsd:element ref="ns2:MediaServiceMetadata" minOccurs="0"/>
                <xsd:element ref="ns2:MediaServiceFastMetadata" minOccurs="0"/>
                <xsd:element ref="ns2:Readyforreview"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9d66-1f85-400a-8178-5ce3513ca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adyforreview" ma:index="10" nillable="true" ma:displayName="Ready for review" ma:default="1" ma:description="Column will be used to indicate if a draft is ready for review" ma:format="Dropdown" ma:internalName="Readyforreview">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a724b-f35e-46db-94d1-ef63551b48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adyforreview xmlns="2db09d66-1f85-400a-8178-5ce3513ca97c">true</Readyfor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D32E6-EB4F-49C8-AD09-FAC06D88B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09d66-1f85-400a-8178-5ce3513ca97c"/>
    <ds:schemaRef ds:uri="7bea724b-f35e-46db-94d1-ef63551b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899297-C45A-4619-B2F1-1365DB34DB3A}">
  <ds:schemaRefs>
    <ds:schemaRef ds:uri="http://schemas.openxmlformats.org/package/2006/metadata/core-properties"/>
    <ds:schemaRef ds:uri="http://schemas.microsoft.com/office/infopath/2007/PartnerControls"/>
    <ds:schemaRef ds:uri="2db09d66-1f85-400a-8178-5ce3513ca97c"/>
    <ds:schemaRef ds:uri="http://purl.org/dc/dcmitype/"/>
    <ds:schemaRef ds:uri="http://schemas.microsoft.com/office/2006/documentManagement/types"/>
    <ds:schemaRef ds:uri="http://purl.org/dc/elements/1.1/"/>
    <ds:schemaRef ds:uri="7bea724b-f35e-46db-94d1-ef63551b485c"/>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BA8D4B14-44EA-4AD8-9BFF-487CBFE8B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Sarah Fencott</cp:lastModifiedBy>
  <cp:revision>4</cp:revision>
  <cp:lastPrinted>2019-12-16T11:06:00Z</cp:lastPrinted>
  <dcterms:created xsi:type="dcterms:W3CDTF">2020-01-19T17:06:00Z</dcterms:created>
  <dcterms:modified xsi:type="dcterms:W3CDTF">2020-01-19T17:24:00Z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0x010100AE20EC6004DBEF4EBFBE38BF237741AF</vt:lpwstr>
  </property>
</Properties>
</file>